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969" w:rsidRPr="00C04026" w:rsidRDefault="00C04026" w:rsidP="00137CA4">
      <w:pPr>
        <w:pStyle w:val="Heading1"/>
      </w:pPr>
      <w:r w:rsidRPr="00C04026">
        <w:t>Recent developments in children’s social care law and policy.</w:t>
      </w:r>
    </w:p>
    <w:p w:rsidR="00C04026" w:rsidRDefault="00C378A8" w:rsidP="00137CA4">
      <w:pPr>
        <w:pStyle w:val="Heading1"/>
      </w:pPr>
      <w:r>
        <w:t>August</w:t>
      </w:r>
      <w:r w:rsidR="00C04026" w:rsidRPr="00C04026">
        <w:t xml:space="preserve"> 2018</w:t>
      </w:r>
    </w:p>
    <w:p w:rsidR="00C37709" w:rsidRDefault="00C37709">
      <w:pPr>
        <w:rPr>
          <w:b/>
        </w:rPr>
      </w:pPr>
    </w:p>
    <w:p w:rsidR="00560F2B" w:rsidRPr="00C04026" w:rsidRDefault="00560F2B">
      <w:pPr>
        <w:rPr>
          <w:b/>
        </w:rPr>
      </w:pPr>
    </w:p>
    <w:p w:rsidR="00C04026" w:rsidRDefault="00C37709" w:rsidP="00137CA4">
      <w:pPr>
        <w:pStyle w:val="Heading2"/>
      </w:pPr>
      <w:r w:rsidRPr="00C37709">
        <w:t xml:space="preserve">Launch of the report on the </w:t>
      </w:r>
      <w:r w:rsidR="00C04026" w:rsidRPr="00C37709">
        <w:t>Care Crisis Review</w:t>
      </w:r>
      <w:r w:rsidRPr="00C37709">
        <w:t xml:space="preserve"> – 29 June</w:t>
      </w:r>
    </w:p>
    <w:p w:rsidR="006B5543" w:rsidRDefault="006B5543" w:rsidP="006B5543"/>
    <w:p w:rsidR="006B5543" w:rsidRDefault="006B5543" w:rsidP="006B5543">
      <w:r>
        <w:t>The sector-led Care Crisis Review was initiated in response to comments by the Pres</w:t>
      </w:r>
      <w:r w:rsidR="001E6744">
        <w:t>i</w:t>
      </w:r>
      <w:r>
        <w:t>dent</w:t>
      </w:r>
      <w:r w:rsidR="001E6744">
        <w:t xml:space="preserve"> </w:t>
      </w:r>
      <w:r>
        <w:t>of the Family Divis</w:t>
      </w:r>
      <w:r w:rsidR="001E6744">
        <w:t>i</w:t>
      </w:r>
      <w:r>
        <w:t>on, Sir</w:t>
      </w:r>
      <w:r w:rsidR="001E6744">
        <w:t xml:space="preserve"> </w:t>
      </w:r>
      <w:r>
        <w:t>James Munby</w:t>
      </w:r>
      <w:r w:rsidR="001E6744">
        <w:t xml:space="preserve">, that family courts in England and Wales faced a crisis because of the increasing number of care applications, but had no strategy to deal with it. It was funded by the Nuffield Foundation and facilitated by Family Rights Group. An initial meeting in Wales was held in January (reported </w:t>
      </w:r>
      <w:hyperlink r:id="rId5" w:history="1">
        <w:r w:rsidR="001E6744" w:rsidRPr="001E6744">
          <w:rPr>
            <w:rStyle w:val="Hyperlink"/>
          </w:rPr>
          <w:t>here</w:t>
        </w:r>
      </w:hyperlink>
      <w:r w:rsidR="001E6744">
        <w:t xml:space="preserve">) and the work culminated in a </w:t>
      </w:r>
      <w:r w:rsidR="00123CE5">
        <w:t xml:space="preserve">series of </w:t>
      </w:r>
      <w:r w:rsidR="001E6744">
        <w:t>report</w:t>
      </w:r>
      <w:r w:rsidR="00123CE5">
        <w:t>s</w:t>
      </w:r>
      <w:r w:rsidR="001E6744">
        <w:t xml:space="preserve"> published in June</w:t>
      </w:r>
      <w:r w:rsidR="00123CE5">
        <w:t xml:space="preserve">, which can be downloaded </w:t>
      </w:r>
      <w:hyperlink r:id="rId6" w:history="1">
        <w:r w:rsidR="00123CE5" w:rsidRPr="00123CE5">
          <w:rPr>
            <w:rStyle w:val="Hyperlink"/>
          </w:rPr>
          <w:t>here</w:t>
        </w:r>
      </w:hyperlink>
      <w:r w:rsidR="001E6744">
        <w:t>.</w:t>
      </w:r>
      <w:r w:rsidR="00123CE5">
        <w:t xml:space="preserve"> These include</w:t>
      </w:r>
      <w:r w:rsidR="001E6744">
        <w:t xml:space="preserve"> </w:t>
      </w:r>
      <w:r w:rsidR="00123CE5">
        <w:t>survey results, options for change and a detailed report on the factors that have led to the increase, highlighting similarities and differences between England and Wales.</w:t>
      </w:r>
      <w:r w:rsidR="00A672B5">
        <w:t xml:space="preserve"> There are also more local variations in implementation of law and practice.</w:t>
      </w:r>
      <w:r w:rsidR="00123CE5">
        <w:t xml:space="preserve"> </w:t>
      </w:r>
      <w:r w:rsidR="001E6744">
        <w:t>At the Wales launch event held in Cardiff on 29 June, the Min</w:t>
      </w:r>
      <w:r w:rsidR="00123CE5">
        <w:t>i</w:t>
      </w:r>
      <w:r w:rsidR="001E6744">
        <w:t>ster for</w:t>
      </w:r>
      <w:r w:rsidR="00123CE5">
        <w:t xml:space="preserve"> Children, Older People and Social Care, Huw </w:t>
      </w:r>
      <w:proofErr w:type="spellStart"/>
      <w:r w:rsidR="00123CE5">
        <w:t>Irranca</w:t>
      </w:r>
      <w:proofErr w:type="spellEnd"/>
      <w:r w:rsidR="00123CE5">
        <w:t>-Davies AM, spoke on the need for system-wide change and a well-targeted cross-government response to the reports, involving local authorities, families and the judici</w:t>
      </w:r>
      <w:r w:rsidR="00A672B5">
        <w:t xml:space="preserve">ary. This work is to be taken forward by his </w:t>
      </w:r>
      <w:hyperlink r:id="rId7" w:history="1">
        <w:r w:rsidR="00A672B5" w:rsidRPr="00A672B5">
          <w:rPr>
            <w:rStyle w:val="Hyperlink"/>
          </w:rPr>
          <w:t>Ministerial Advisory Group</w:t>
        </w:r>
      </w:hyperlink>
      <w:r w:rsidR="00A672B5">
        <w:t xml:space="preserve"> and the </w:t>
      </w:r>
      <w:hyperlink r:id="rId8" w:history="1">
        <w:r w:rsidR="00A672B5" w:rsidRPr="00A672B5">
          <w:rPr>
            <w:rStyle w:val="Hyperlink"/>
          </w:rPr>
          <w:t>Family Justice Network</w:t>
        </w:r>
      </w:hyperlink>
      <w:r w:rsidR="00A672B5">
        <w:t>.</w:t>
      </w:r>
    </w:p>
    <w:p w:rsidR="00A672B5" w:rsidRPr="006B5543" w:rsidRDefault="00A672B5" w:rsidP="006B5543"/>
    <w:p w:rsidR="00C37709" w:rsidRDefault="00A672B5" w:rsidP="00A672B5">
      <w:pPr>
        <w:pStyle w:val="Heading2"/>
      </w:pPr>
      <w:r>
        <w:t>Stakeholder meeting of the Family Justice Observatory – 21 June</w:t>
      </w:r>
    </w:p>
    <w:p w:rsidR="00A672B5" w:rsidRDefault="00A672B5" w:rsidP="00A672B5"/>
    <w:p w:rsidR="00A672B5" w:rsidRPr="007D6454" w:rsidRDefault="00734D95" w:rsidP="00A672B5">
      <w:r>
        <w:t>A meeting of researchers and practitioners was held in C</w:t>
      </w:r>
      <w:r w:rsidR="005930A0">
        <w:t>a</w:t>
      </w:r>
      <w:r>
        <w:t>rdiff on 21 June to explain the functio</w:t>
      </w:r>
      <w:r w:rsidR="005930A0">
        <w:t>n</w:t>
      </w:r>
      <w:r>
        <w:t>s of the new Family Jus</w:t>
      </w:r>
      <w:r w:rsidR="005930A0">
        <w:t>t</w:t>
      </w:r>
      <w:r>
        <w:t>ice Observator</w:t>
      </w:r>
      <w:r w:rsidR="005930A0">
        <w:t>y</w:t>
      </w:r>
      <w:r>
        <w:t xml:space="preserve"> in bu</w:t>
      </w:r>
      <w:r w:rsidR="005930A0">
        <w:t>ild</w:t>
      </w:r>
      <w:r>
        <w:t>ing re</w:t>
      </w:r>
      <w:r w:rsidR="005930A0">
        <w:t>se</w:t>
      </w:r>
      <w:r>
        <w:t>arch capacity and sum</w:t>
      </w:r>
      <w:r w:rsidR="005930A0">
        <w:t>marising</w:t>
      </w:r>
      <w:r>
        <w:t xml:space="preserve"> knowledge on pr</w:t>
      </w:r>
      <w:r w:rsidR="005930A0">
        <w:t>i</w:t>
      </w:r>
      <w:r>
        <w:t xml:space="preserve">ority </w:t>
      </w:r>
      <w:r w:rsidR="005930A0">
        <w:t>to</w:t>
      </w:r>
      <w:r>
        <w:t>pics to produce guid</w:t>
      </w:r>
      <w:r w:rsidR="007D6454">
        <w:t>e</w:t>
      </w:r>
      <w:r>
        <w:t>lin</w:t>
      </w:r>
      <w:r w:rsidR="007D6454">
        <w:t>e</w:t>
      </w:r>
      <w:r>
        <w:t xml:space="preserve">s </w:t>
      </w:r>
      <w:r w:rsidR="007D6454">
        <w:t>a</w:t>
      </w:r>
      <w:r>
        <w:t>nd practical too</w:t>
      </w:r>
      <w:r w:rsidR="007D6454">
        <w:t>l</w:t>
      </w:r>
      <w:r>
        <w:t>s fo</w:t>
      </w:r>
      <w:r w:rsidR="007D6454">
        <w:t>r</w:t>
      </w:r>
      <w:r>
        <w:t xml:space="preserve"> social workers a</w:t>
      </w:r>
      <w:r w:rsidR="007D6454">
        <w:t>n</w:t>
      </w:r>
      <w:r>
        <w:t xml:space="preserve">d lawyers in </w:t>
      </w:r>
      <w:r w:rsidRPr="007D6454">
        <w:t>practice. The prio</w:t>
      </w:r>
      <w:r w:rsidR="007D6454" w:rsidRPr="007D6454">
        <w:t>ri</w:t>
      </w:r>
      <w:r w:rsidRPr="007D6454">
        <w:t>ty areas fo</w:t>
      </w:r>
      <w:r w:rsidR="007D6454" w:rsidRPr="007D6454">
        <w:t>r</w:t>
      </w:r>
      <w:r w:rsidRPr="007D6454">
        <w:t xml:space="preserve"> Wales agreed by those attending were: </w:t>
      </w:r>
    </w:p>
    <w:p w:rsidR="00734D95" w:rsidRPr="007D6454" w:rsidRDefault="00734D95" w:rsidP="007D6454">
      <w:pPr>
        <w:pStyle w:val="ListParagraph"/>
        <w:numPr>
          <w:ilvl w:val="0"/>
          <w:numId w:val="1"/>
        </w:numPr>
        <w:rPr>
          <w:rFonts w:ascii="Verdana" w:hAnsi="Verdana"/>
        </w:rPr>
      </w:pPr>
      <w:r w:rsidRPr="007D6454">
        <w:rPr>
          <w:rFonts w:ascii="Verdana" w:hAnsi="Verdana"/>
        </w:rPr>
        <w:t>Long-</w:t>
      </w:r>
      <w:r w:rsidR="007D6454" w:rsidRPr="007D6454">
        <w:rPr>
          <w:rFonts w:ascii="Verdana" w:hAnsi="Verdana"/>
        </w:rPr>
        <w:t>t</w:t>
      </w:r>
      <w:r w:rsidRPr="007D6454">
        <w:rPr>
          <w:rFonts w:ascii="Verdana" w:hAnsi="Verdana"/>
        </w:rPr>
        <w:t>er</w:t>
      </w:r>
      <w:r w:rsidR="007D6454" w:rsidRPr="007D6454">
        <w:rPr>
          <w:rFonts w:ascii="Verdana" w:hAnsi="Verdana"/>
        </w:rPr>
        <w:t>m</w:t>
      </w:r>
      <w:r w:rsidRPr="007D6454">
        <w:rPr>
          <w:rFonts w:ascii="Verdana" w:hAnsi="Verdana"/>
        </w:rPr>
        <w:t xml:space="preserve"> placement stability and wellbeing ou</w:t>
      </w:r>
      <w:r w:rsidR="007D6454" w:rsidRPr="007D6454">
        <w:rPr>
          <w:rFonts w:ascii="Verdana" w:hAnsi="Verdana"/>
        </w:rPr>
        <w:t>t</w:t>
      </w:r>
      <w:r w:rsidRPr="007D6454">
        <w:rPr>
          <w:rFonts w:ascii="Verdana" w:hAnsi="Verdana"/>
        </w:rPr>
        <w:t>c</w:t>
      </w:r>
      <w:r w:rsidR="007D6454" w:rsidRPr="007D6454">
        <w:rPr>
          <w:rFonts w:ascii="Verdana" w:hAnsi="Verdana"/>
        </w:rPr>
        <w:t>o</w:t>
      </w:r>
      <w:r w:rsidRPr="007D6454">
        <w:rPr>
          <w:rFonts w:ascii="Verdana" w:hAnsi="Verdana"/>
        </w:rPr>
        <w:t>mes</w:t>
      </w:r>
    </w:p>
    <w:p w:rsidR="00734D95" w:rsidRPr="007D6454" w:rsidRDefault="00734D95" w:rsidP="007D6454">
      <w:pPr>
        <w:pStyle w:val="ListParagraph"/>
        <w:numPr>
          <w:ilvl w:val="0"/>
          <w:numId w:val="1"/>
        </w:numPr>
        <w:rPr>
          <w:rFonts w:ascii="Verdana" w:hAnsi="Verdana"/>
        </w:rPr>
      </w:pPr>
      <w:r w:rsidRPr="007D6454">
        <w:rPr>
          <w:rFonts w:ascii="Verdana" w:hAnsi="Verdana"/>
        </w:rPr>
        <w:t>Sibling p</w:t>
      </w:r>
      <w:r w:rsidR="007D6454" w:rsidRPr="007D6454">
        <w:rPr>
          <w:rFonts w:ascii="Verdana" w:hAnsi="Verdana"/>
        </w:rPr>
        <w:t xml:space="preserve">lanning </w:t>
      </w:r>
      <w:r w:rsidRPr="007D6454">
        <w:rPr>
          <w:rFonts w:ascii="Verdana" w:hAnsi="Verdana"/>
        </w:rPr>
        <w:t>an</w:t>
      </w:r>
      <w:r w:rsidR="007D6454" w:rsidRPr="007D6454">
        <w:rPr>
          <w:rFonts w:ascii="Verdana" w:hAnsi="Verdana"/>
        </w:rPr>
        <w:t>d</w:t>
      </w:r>
      <w:r w:rsidRPr="007D6454">
        <w:rPr>
          <w:rFonts w:ascii="Verdana" w:hAnsi="Verdana"/>
        </w:rPr>
        <w:t xml:space="preserve"> conta</w:t>
      </w:r>
      <w:r w:rsidR="007D6454" w:rsidRPr="007D6454">
        <w:rPr>
          <w:rFonts w:ascii="Verdana" w:hAnsi="Verdana"/>
        </w:rPr>
        <w:t>c</w:t>
      </w:r>
      <w:r w:rsidRPr="007D6454">
        <w:rPr>
          <w:rFonts w:ascii="Verdana" w:hAnsi="Verdana"/>
        </w:rPr>
        <w:t xml:space="preserve">t </w:t>
      </w:r>
    </w:p>
    <w:p w:rsidR="00734D95" w:rsidRPr="007D6454" w:rsidRDefault="00734D95" w:rsidP="007D6454">
      <w:pPr>
        <w:pStyle w:val="ListParagraph"/>
        <w:numPr>
          <w:ilvl w:val="0"/>
          <w:numId w:val="1"/>
        </w:numPr>
        <w:rPr>
          <w:rFonts w:ascii="Verdana" w:hAnsi="Verdana"/>
        </w:rPr>
      </w:pPr>
      <w:r w:rsidRPr="007D6454">
        <w:rPr>
          <w:rFonts w:ascii="Verdana" w:hAnsi="Verdana"/>
        </w:rPr>
        <w:t>Lit</w:t>
      </w:r>
      <w:r w:rsidR="007D6454" w:rsidRPr="007D6454">
        <w:rPr>
          <w:rFonts w:ascii="Verdana" w:hAnsi="Verdana"/>
        </w:rPr>
        <w:t>i</w:t>
      </w:r>
      <w:r w:rsidRPr="007D6454">
        <w:rPr>
          <w:rFonts w:ascii="Verdana" w:hAnsi="Verdana"/>
        </w:rPr>
        <w:t>ga</w:t>
      </w:r>
      <w:r w:rsidR="007D6454" w:rsidRPr="007D6454">
        <w:rPr>
          <w:rFonts w:ascii="Verdana" w:hAnsi="Verdana"/>
        </w:rPr>
        <w:t>nts</w:t>
      </w:r>
      <w:r w:rsidRPr="007D6454">
        <w:rPr>
          <w:rFonts w:ascii="Verdana" w:hAnsi="Verdana"/>
        </w:rPr>
        <w:t xml:space="preserve"> in</w:t>
      </w:r>
      <w:r w:rsidR="007D6454" w:rsidRPr="007D6454">
        <w:rPr>
          <w:rFonts w:ascii="Verdana" w:hAnsi="Verdana"/>
        </w:rPr>
        <w:t xml:space="preserve"> p</w:t>
      </w:r>
      <w:r w:rsidRPr="007D6454">
        <w:rPr>
          <w:rFonts w:ascii="Verdana" w:hAnsi="Verdana"/>
        </w:rPr>
        <w:t>er</w:t>
      </w:r>
      <w:r w:rsidR="007D6454" w:rsidRPr="007D6454">
        <w:rPr>
          <w:rFonts w:ascii="Verdana" w:hAnsi="Verdana"/>
        </w:rPr>
        <w:t>s</w:t>
      </w:r>
      <w:r w:rsidRPr="007D6454">
        <w:rPr>
          <w:rFonts w:ascii="Verdana" w:hAnsi="Verdana"/>
        </w:rPr>
        <w:t>on (inc</w:t>
      </w:r>
      <w:r w:rsidR="007D6454" w:rsidRPr="007D6454">
        <w:rPr>
          <w:rFonts w:ascii="Verdana" w:hAnsi="Verdana"/>
        </w:rPr>
        <w:t>lu</w:t>
      </w:r>
      <w:r w:rsidRPr="007D6454">
        <w:rPr>
          <w:rFonts w:ascii="Verdana" w:hAnsi="Verdana"/>
        </w:rPr>
        <w:t>ding kinship care appl</w:t>
      </w:r>
      <w:r w:rsidR="007D6454" w:rsidRPr="007D6454">
        <w:rPr>
          <w:rFonts w:ascii="Verdana" w:hAnsi="Verdana"/>
        </w:rPr>
        <w:t>i</w:t>
      </w:r>
      <w:r w:rsidRPr="007D6454">
        <w:rPr>
          <w:rFonts w:ascii="Verdana" w:hAnsi="Verdana"/>
        </w:rPr>
        <w:t>cations)</w:t>
      </w:r>
    </w:p>
    <w:p w:rsidR="00734D95" w:rsidRPr="007D6454" w:rsidRDefault="00734D95" w:rsidP="007D6454">
      <w:pPr>
        <w:pStyle w:val="ListParagraph"/>
        <w:numPr>
          <w:ilvl w:val="0"/>
          <w:numId w:val="1"/>
        </w:numPr>
        <w:rPr>
          <w:rFonts w:ascii="Verdana" w:hAnsi="Verdana"/>
        </w:rPr>
      </w:pPr>
      <w:r w:rsidRPr="007D6454">
        <w:rPr>
          <w:rFonts w:ascii="Verdana" w:hAnsi="Verdana"/>
        </w:rPr>
        <w:t>Contact in high-conf</w:t>
      </w:r>
      <w:r w:rsidR="007D6454" w:rsidRPr="007D6454">
        <w:rPr>
          <w:rFonts w:ascii="Verdana" w:hAnsi="Verdana"/>
        </w:rPr>
        <w:t>lict</w:t>
      </w:r>
      <w:r w:rsidRPr="007D6454">
        <w:rPr>
          <w:rFonts w:ascii="Verdana" w:hAnsi="Verdana"/>
        </w:rPr>
        <w:t xml:space="preserve"> pri</w:t>
      </w:r>
      <w:r w:rsidR="007D6454" w:rsidRPr="007D6454">
        <w:rPr>
          <w:rFonts w:ascii="Verdana" w:hAnsi="Verdana"/>
        </w:rPr>
        <w:t>v</w:t>
      </w:r>
      <w:r w:rsidRPr="007D6454">
        <w:rPr>
          <w:rFonts w:ascii="Verdana" w:hAnsi="Verdana"/>
        </w:rPr>
        <w:t>a</w:t>
      </w:r>
      <w:r w:rsidR="007D6454" w:rsidRPr="007D6454">
        <w:rPr>
          <w:rFonts w:ascii="Verdana" w:hAnsi="Verdana"/>
        </w:rPr>
        <w:t>te</w:t>
      </w:r>
      <w:r w:rsidRPr="007D6454">
        <w:rPr>
          <w:rFonts w:ascii="Verdana" w:hAnsi="Verdana"/>
        </w:rPr>
        <w:t xml:space="preserve"> law cases</w:t>
      </w:r>
    </w:p>
    <w:p w:rsidR="007D6454" w:rsidRDefault="00350099" w:rsidP="00A672B5">
      <w:r>
        <w:t xml:space="preserve">The development team includes Professor David Ford, Director of the </w:t>
      </w:r>
      <w:hyperlink r:id="rId9" w:history="1">
        <w:r w:rsidRPr="00350099">
          <w:rPr>
            <w:rStyle w:val="Hyperlink"/>
          </w:rPr>
          <w:t>SAIL Databank</w:t>
        </w:r>
      </w:hyperlink>
      <w:r>
        <w:t>, Swansea University.</w:t>
      </w:r>
    </w:p>
    <w:p w:rsidR="00734D95" w:rsidRPr="00A672B5" w:rsidRDefault="00734D95" w:rsidP="00A672B5">
      <w:r w:rsidRPr="007D6454">
        <w:lastRenderedPageBreak/>
        <w:t>Information about the ongoing work of the Obser</w:t>
      </w:r>
      <w:r w:rsidR="007D6454">
        <w:t>v</w:t>
      </w:r>
      <w:r w:rsidRPr="007D6454">
        <w:t>at</w:t>
      </w:r>
      <w:r w:rsidR="007D6454">
        <w:t>ory</w:t>
      </w:r>
      <w:r w:rsidRPr="007D6454">
        <w:t xml:space="preserve"> </w:t>
      </w:r>
      <w:r w:rsidR="007D6454">
        <w:t xml:space="preserve">(to be launched in spring 2019) </w:t>
      </w:r>
      <w:r w:rsidRPr="007D6454">
        <w:t>is av</w:t>
      </w:r>
      <w:r w:rsidR="007D6454">
        <w:t>a</w:t>
      </w:r>
      <w:r w:rsidRPr="007D6454">
        <w:t>il</w:t>
      </w:r>
      <w:r w:rsidR="007D6454">
        <w:t>able</w:t>
      </w:r>
      <w:r w:rsidRPr="007D6454">
        <w:t xml:space="preserve"> on the</w:t>
      </w:r>
      <w:r>
        <w:t xml:space="preserve"> </w:t>
      </w:r>
      <w:r w:rsidR="007D6454">
        <w:t>Nuffield F</w:t>
      </w:r>
      <w:r>
        <w:t>oundation website.</w:t>
      </w:r>
    </w:p>
    <w:p w:rsidR="00560F2B" w:rsidRDefault="00560F2B" w:rsidP="00137CA4">
      <w:pPr>
        <w:pStyle w:val="Heading2"/>
      </w:pPr>
    </w:p>
    <w:p w:rsidR="00137CA4" w:rsidRDefault="00C04026" w:rsidP="00137CA4">
      <w:pPr>
        <w:pStyle w:val="Heading2"/>
      </w:pPr>
      <w:r>
        <w:t>S</w:t>
      </w:r>
      <w:r w:rsidR="00137CA4">
        <w:t xml:space="preserve">pecial </w:t>
      </w:r>
      <w:r>
        <w:t>G</w:t>
      </w:r>
      <w:r w:rsidR="00137CA4">
        <w:t>uardianship – new regulations and guidance</w:t>
      </w:r>
    </w:p>
    <w:p w:rsidR="00137CA4" w:rsidRDefault="00137CA4" w:rsidP="00137CA4"/>
    <w:p w:rsidR="00137CA4" w:rsidRPr="00137CA4" w:rsidRDefault="00C120D8" w:rsidP="00137CA4">
      <w:r>
        <w:t xml:space="preserve">Following a public consultation by Welsh Government, the National Assembly passed new </w:t>
      </w:r>
      <w:hyperlink r:id="rId10" w:history="1">
        <w:r w:rsidRPr="001A6A6C">
          <w:rPr>
            <w:rStyle w:val="Hyperlink"/>
          </w:rPr>
          <w:t>regulations</w:t>
        </w:r>
      </w:hyperlink>
      <w:r>
        <w:t xml:space="preserve"> to amend and update those issued in 2005, and a </w:t>
      </w:r>
      <w:hyperlink r:id="rId11" w:history="1">
        <w:r w:rsidRPr="001A6A6C">
          <w:rPr>
            <w:rStyle w:val="Hyperlink"/>
          </w:rPr>
          <w:t>Code of Practice</w:t>
        </w:r>
      </w:hyperlink>
      <w:r>
        <w:t xml:space="preserve"> (comprising statutory and non-statutory guidance) </w:t>
      </w:r>
      <w:r w:rsidR="00C378A8">
        <w:t xml:space="preserve">which came into force on 2 </w:t>
      </w:r>
      <w:r>
        <w:t xml:space="preserve">July. </w:t>
      </w:r>
      <w:r w:rsidR="00C378A8">
        <w:t xml:space="preserve">Major changes include: a more detailed schedule of matters to be included in a SG assessment for the court and additional duties and guidance on providing support to special guardians and the children placed with them.  </w:t>
      </w:r>
    </w:p>
    <w:p w:rsidR="00137CA4" w:rsidRDefault="00137CA4"/>
    <w:p w:rsidR="00C378A8" w:rsidRDefault="00C378A8" w:rsidP="00C378A8">
      <w:pPr>
        <w:pStyle w:val="Heading2"/>
      </w:pPr>
      <w:r>
        <w:t xml:space="preserve">Child Practice Review </w:t>
      </w:r>
    </w:p>
    <w:p w:rsidR="001A6A6C" w:rsidRDefault="001A6A6C" w:rsidP="001A6A6C"/>
    <w:p w:rsidR="00C378A8" w:rsidRDefault="001A6A6C" w:rsidP="00C378A8">
      <w:r>
        <w:t xml:space="preserve">An </w:t>
      </w:r>
      <w:hyperlink r:id="rId12" w:history="1">
        <w:r w:rsidRPr="00560F2B">
          <w:rPr>
            <w:rStyle w:val="Hyperlink"/>
          </w:rPr>
          <w:t>extended Child Practice Review</w:t>
        </w:r>
      </w:hyperlink>
      <w:r>
        <w:t xml:space="preserve"> was published by the Cardiff and Vale of Glamorgan Safeguarding Board on 2</w:t>
      </w:r>
      <w:r w:rsidRPr="001A6A6C">
        <w:rPr>
          <w:vertAlign w:val="superscript"/>
        </w:rPr>
        <w:t>nd</w:t>
      </w:r>
      <w:r>
        <w:t xml:space="preserve"> August, </w:t>
      </w:r>
      <w:r w:rsidR="00560F2B">
        <w:t>in relation to the death of 17-month-old</w:t>
      </w:r>
      <w:r w:rsidR="00876635">
        <w:t xml:space="preserve"> Elsie Scully-Hicks in May 2016, two months after being adopted. While t</w:t>
      </w:r>
      <w:r w:rsidR="00560F2B">
        <w:t xml:space="preserve">he review </w:t>
      </w:r>
      <w:r w:rsidR="00876635">
        <w:t xml:space="preserve">found that practice in planning and assessment had been </w:t>
      </w:r>
      <w:r w:rsidR="008B119B">
        <w:t>thorough, opportunities to identify risk</w:t>
      </w:r>
      <w:bookmarkStart w:id="0" w:name="_GoBack"/>
      <w:bookmarkEnd w:id="0"/>
      <w:r w:rsidR="008B119B">
        <w:t xml:space="preserve"> had been missed. The review </w:t>
      </w:r>
      <w:r w:rsidR="00560F2B">
        <w:t>ma</w:t>
      </w:r>
      <w:r w:rsidR="008B119B">
        <w:t>kes</w:t>
      </w:r>
      <w:r w:rsidR="00560F2B">
        <w:t xml:space="preserve"> a number of recommendations for agency improvements in practice (health, local authority and the adoption service).  </w:t>
      </w:r>
    </w:p>
    <w:p w:rsidR="00C378A8" w:rsidRPr="00C378A8" w:rsidRDefault="00C378A8" w:rsidP="00C378A8"/>
    <w:p w:rsidR="00EA1A21" w:rsidRDefault="00EA1A21"/>
    <w:p w:rsidR="00CC7A29" w:rsidRDefault="00C378A8" w:rsidP="00137CA4">
      <w:pPr>
        <w:pStyle w:val="Heading2"/>
      </w:pPr>
      <w:r>
        <w:t xml:space="preserve">Court judgments </w:t>
      </w:r>
    </w:p>
    <w:p w:rsidR="00137CA4" w:rsidRPr="00137CA4" w:rsidRDefault="00137CA4" w:rsidP="00137CA4"/>
    <w:p w:rsidR="00CC7A29" w:rsidRDefault="00CC7A29" w:rsidP="00137CA4">
      <w:pPr>
        <w:pStyle w:val="Heading3"/>
      </w:pPr>
      <w:r w:rsidRPr="00501D32">
        <w:t xml:space="preserve">Use of attachment theory  </w:t>
      </w:r>
    </w:p>
    <w:p w:rsidR="00137CA4" w:rsidRPr="00137CA4" w:rsidRDefault="00137CA4" w:rsidP="00137CA4"/>
    <w:p w:rsidR="00C04026" w:rsidRPr="00501D32" w:rsidRDefault="00A0467A">
      <w:pPr>
        <w:rPr>
          <w:b/>
        </w:rPr>
      </w:pPr>
      <w:r w:rsidRPr="00501D32">
        <w:rPr>
          <w:b/>
        </w:rPr>
        <w:t>GM v Carmarthenshire CC and LLM [2018] EWFC 36</w:t>
      </w:r>
    </w:p>
    <w:p w:rsidR="002A34E6" w:rsidRPr="00501D32" w:rsidRDefault="00A0467A">
      <w:r w:rsidRPr="00501D32">
        <w:t>This was an application by a mother to discharge the care order relating to her</w:t>
      </w:r>
      <w:r w:rsidR="002A34E6" w:rsidRPr="00501D32">
        <w:t xml:space="preserve"> eight-year-old</w:t>
      </w:r>
      <w:r w:rsidRPr="00501D32">
        <w:t xml:space="preserve"> son. The case was heard by Mr Just</w:t>
      </w:r>
      <w:r w:rsidR="002A34E6" w:rsidRPr="00501D32">
        <w:t>ice</w:t>
      </w:r>
      <w:r w:rsidRPr="00501D32">
        <w:t xml:space="preserve"> </w:t>
      </w:r>
      <w:proofErr w:type="spellStart"/>
      <w:r w:rsidRPr="00501D32">
        <w:t>Mostyn</w:t>
      </w:r>
      <w:proofErr w:type="spellEnd"/>
      <w:r w:rsidRPr="00501D32">
        <w:t>, a High Court judge, at Swansea Family Court</w:t>
      </w:r>
      <w:r w:rsidR="002A34E6" w:rsidRPr="00501D32">
        <w:t xml:space="preserve"> in May and the judgment can be read </w:t>
      </w:r>
      <w:hyperlink r:id="rId13" w:history="1">
        <w:r w:rsidR="002A34E6" w:rsidRPr="00501D32">
          <w:rPr>
            <w:rStyle w:val="Hyperlink"/>
          </w:rPr>
          <w:t>here</w:t>
        </w:r>
      </w:hyperlink>
      <w:r w:rsidR="002A34E6" w:rsidRPr="00501D32">
        <w:t>. The judge was very critical about the evidence given by the local authority social worker, guardian and independent social work expert witness, especially the use of attachment theory</w:t>
      </w:r>
      <w:r w:rsidR="00501D32" w:rsidRPr="00501D32">
        <w:t>,</w:t>
      </w:r>
      <w:r w:rsidR="002A34E6" w:rsidRPr="00501D32">
        <w:t xml:space="preserve"> which he found vague and inappropriate. His comments (especially at paras. 17-19) have led to some concerns that attachment assessments are no longer accepted as expert evidence in family courts</w:t>
      </w:r>
      <w:r w:rsidR="00501D32" w:rsidRPr="00501D32">
        <w:t>, but a</w:t>
      </w:r>
      <w:r w:rsidR="002A34E6" w:rsidRPr="00501D32">
        <w:t xml:space="preserve">s this case was heard at Family </w:t>
      </w:r>
      <w:r w:rsidR="002A34E6" w:rsidRPr="00501D32">
        <w:lastRenderedPageBreak/>
        <w:t>Court level, it does not create binding precedent.</w:t>
      </w:r>
      <w:r w:rsidR="00501D32" w:rsidRPr="00501D32">
        <w:t xml:space="preserve"> Nevertheless,</w:t>
      </w:r>
      <w:r w:rsidR="002A34E6" w:rsidRPr="00501D32">
        <w:t xml:space="preserve"> </w:t>
      </w:r>
      <w:hyperlink r:id="rId14" w:history="1">
        <w:r w:rsidR="00501D32" w:rsidRPr="00501D32">
          <w:rPr>
            <w:rStyle w:val="Hyperlink"/>
          </w:rPr>
          <w:t>t</w:t>
        </w:r>
        <w:r w:rsidR="002A34E6" w:rsidRPr="00501D32">
          <w:rPr>
            <w:rStyle w:val="Hyperlink"/>
          </w:rPr>
          <w:t xml:space="preserve">his column in Community Care by David </w:t>
        </w:r>
        <w:proofErr w:type="spellStart"/>
        <w:r w:rsidR="002A34E6" w:rsidRPr="00501D32">
          <w:rPr>
            <w:rStyle w:val="Hyperlink"/>
          </w:rPr>
          <w:t>Shemmings</w:t>
        </w:r>
        <w:proofErr w:type="spellEnd"/>
      </w:hyperlink>
      <w:r w:rsidR="002A34E6" w:rsidRPr="00501D32">
        <w:t xml:space="preserve"> is very helpful in advising on a </w:t>
      </w:r>
      <w:r w:rsidR="00CC7A29" w:rsidRPr="00501D32">
        <w:t xml:space="preserve">more constructive </w:t>
      </w:r>
      <w:r w:rsidR="002A34E6" w:rsidRPr="00501D32">
        <w:t>approach</w:t>
      </w:r>
      <w:r w:rsidR="00CC7A29" w:rsidRPr="00501D32">
        <w:t xml:space="preserve"> to the use of attachment theory in social work assessments</w:t>
      </w:r>
      <w:r w:rsidR="002A34E6" w:rsidRPr="00501D32">
        <w:t xml:space="preserve">. </w:t>
      </w:r>
    </w:p>
    <w:p w:rsidR="00560F2B" w:rsidRDefault="00560F2B" w:rsidP="00137CA4">
      <w:pPr>
        <w:pStyle w:val="Heading3"/>
      </w:pPr>
    </w:p>
    <w:p w:rsidR="00CC7A29" w:rsidRDefault="00CC7A29" w:rsidP="00137CA4">
      <w:pPr>
        <w:pStyle w:val="Heading3"/>
      </w:pPr>
      <w:r w:rsidRPr="00501D32">
        <w:t>Secure accommodation</w:t>
      </w:r>
    </w:p>
    <w:p w:rsidR="00137CA4" w:rsidRPr="00137CA4" w:rsidRDefault="00137CA4" w:rsidP="00137CA4"/>
    <w:p w:rsidR="00CC7A29" w:rsidRPr="00501D32" w:rsidRDefault="00CC7A29">
      <w:pPr>
        <w:rPr>
          <w:b/>
          <w:szCs w:val="24"/>
        </w:rPr>
      </w:pPr>
      <w:r w:rsidRPr="00501D32">
        <w:rPr>
          <w:b/>
          <w:szCs w:val="24"/>
        </w:rPr>
        <w:t>A Child (Secure Accommodation Order) [2018] EWFC B33</w:t>
      </w:r>
    </w:p>
    <w:p w:rsidR="00154F2C" w:rsidRPr="00154F2C" w:rsidRDefault="00154F2C" w:rsidP="00154F2C">
      <w:pPr>
        <w:rPr>
          <w:rFonts w:eastAsia="Times New Roman" w:cs="Times New Roman"/>
          <w:szCs w:val="24"/>
          <w:lang w:eastAsia="en-GB"/>
        </w:rPr>
      </w:pPr>
      <w:r w:rsidRPr="00501D32">
        <w:rPr>
          <w:szCs w:val="24"/>
        </w:rPr>
        <w:t xml:space="preserve">This was </w:t>
      </w:r>
      <w:hyperlink r:id="rId15" w:history="1">
        <w:r w:rsidRPr="00C37709">
          <w:rPr>
            <w:rStyle w:val="Hyperlink"/>
            <w:szCs w:val="24"/>
          </w:rPr>
          <w:t>a judgment by HHJ Gareth Jones</w:t>
        </w:r>
      </w:hyperlink>
      <w:r w:rsidRPr="00501D32">
        <w:rPr>
          <w:szCs w:val="24"/>
        </w:rPr>
        <w:t xml:space="preserve"> at </w:t>
      </w:r>
      <w:proofErr w:type="spellStart"/>
      <w:r w:rsidRPr="00501D32">
        <w:rPr>
          <w:szCs w:val="24"/>
        </w:rPr>
        <w:t>Prestatyn</w:t>
      </w:r>
      <w:proofErr w:type="spellEnd"/>
      <w:r w:rsidRPr="00501D32">
        <w:rPr>
          <w:szCs w:val="24"/>
        </w:rPr>
        <w:t xml:space="preserve"> Family Court. He</w:t>
      </w:r>
      <w:r w:rsidRPr="00154F2C">
        <w:rPr>
          <w:rFonts w:eastAsia="Times New Roman" w:cs="Times New Roman"/>
          <w:spacing w:val="37"/>
          <w:szCs w:val="24"/>
          <w:lang w:val="en-US" w:eastAsia="en-GB"/>
        </w:rPr>
        <w:t xml:space="preserve"> </w:t>
      </w:r>
      <w:r w:rsidRPr="00154F2C">
        <w:rPr>
          <w:rFonts w:eastAsia="Times New Roman" w:cs="Times New Roman"/>
          <w:szCs w:val="24"/>
          <w:lang w:val="en-US" w:eastAsia="en-GB"/>
        </w:rPr>
        <w:t>direct</w:t>
      </w:r>
      <w:r w:rsidRPr="00501D32">
        <w:rPr>
          <w:rFonts w:eastAsia="Times New Roman" w:cs="Times New Roman"/>
          <w:szCs w:val="24"/>
          <w:lang w:val="en-US" w:eastAsia="en-GB"/>
        </w:rPr>
        <w:t>ed</w:t>
      </w:r>
      <w:r w:rsidRPr="00154F2C">
        <w:rPr>
          <w:rFonts w:eastAsia="Times New Roman" w:cs="Times New Roman"/>
          <w:spacing w:val="37"/>
          <w:szCs w:val="24"/>
          <w:lang w:val="en-US" w:eastAsia="en-GB"/>
        </w:rPr>
        <w:t xml:space="preserve"> </w:t>
      </w:r>
      <w:r w:rsidRPr="00154F2C">
        <w:rPr>
          <w:rFonts w:eastAsia="Times New Roman" w:cs="Times New Roman"/>
          <w:szCs w:val="24"/>
          <w:lang w:val="en-US" w:eastAsia="en-GB"/>
        </w:rPr>
        <w:t>that</w:t>
      </w:r>
      <w:r w:rsidRPr="00154F2C">
        <w:rPr>
          <w:rFonts w:eastAsia="Times New Roman" w:cs="Times New Roman"/>
          <w:spacing w:val="34"/>
          <w:szCs w:val="24"/>
          <w:lang w:val="en-US" w:eastAsia="en-GB"/>
        </w:rPr>
        <w:t xml:space="preserve"> </w:t>
      </w:r>
      <w:r w:rsidRPr="00154F2C">
        <w:rPr>
          <w:rFonts w:eastAsia="Times New Roman" w:cs="Times New Roman"/>
          <w:szCs w:val="24"/>
          <w:lang w:val="en-US" w:eastAsia="en-GB"/>
        </w:rPr>
        <w:t>part</w:t>
      </w:r>
      <w:r w:rsidRPr="00154F2C">
        <w:rPr>
          <w:rFonts w:eastAsia="Times New Roman" w:cs="Times New Roman"/>
          <w:spacing w:val="36"/>
          <w:szCs w:val="24"/>
          <w:lang w:val="en-US" w:eastAsia="en-GB"/>
        </w:rPr>
        <w:t xml:space="preserve"> </w:t>
      </w:r>
      <w:r w:rsidRPr="00154F2C">
        <w:rPr>
          <w:rFonts w:eastAsia="Times New Roman" w:cs="Times New Roman"/>
          <w:szCs w:val="24"/>
          <w:lang w:val="en-US" w:eastAsia="en-GB"/>
        </w:rPr>
        <w:t>of</w:t>
      </w:r>
      <w:r w:rsidRPr="00154F2C">
        <w:rPr>
          <w:rFonts w:eastAsia="Times New Roman" w:cs="Times New Roman"/>
          <w:spacing w:val="36"/>
          <w:szCs w:val="24"/>
          <w:lang w:val="en-US" w:eastAsia="en-GB"/>
        </w:rPr>
        <w:t xml:space="preserve"> </w:t>
      </w:r>
      <w:r w:rsidRPr="00154F2C">
        <w:rPr>
          <w:rFonts w:eastAsia="Times New Roman" w:cs="Times New Roman"/>
          <w:szCs w:val="24"/>
          <w:lang w:val="en-US" w:eastAsia="en-GB"/>
        </w:rPr>
        <w:t>the</w:t>
      </w:r>
      <w:r w:rsidRPr="00154F2C">
        <w:rPr>
          <w:rFonts w:eastAsia="Times New Roman" w:cs="Times New Roman"/>
          <w:spacing w:val="36"/>
          <w:szCs w:val="24"/>
          <w:lang w:val="en-US" w:eastAsia="en-GB"/>
        </w:rPr>
        <w:t xml:space="preserve"> </w:t>
      </w:r>
      <w:r w:rsidRPr="00154F2C">
        <w:rPr>
          <w:rFonts w:eastAsia="Times New Roman" w:cs="Times New Roman"/>
          <w:szCs w:val="24"/>
          <w:lang w:val="en-US" w:eastAsia="en-GB"/>
        </w:rPr>
        <w:t>judgment</w:t>
      </w:r>
      <w:r w:rsidRPr="00154F2C">
        <w:rPr>
          <w:rFonts w:eastAsia="Times New Roman" w:cs="Times New Roman"/>
          <w:spacing w:val="37"/>
          <w:szCs w:val="24"/>
          <w:lang w:val="en-US" w:eastAsia="en-GB"/>
        </w:rPr>
        <w:t xml:space="preserve"> </w:t>
      </w:r>
      <w:r w:rsidRPr="00154F2C">
        <w:rPr>
          <w:rFonts w:eastAsia="Times New Roman" w:cs="Times New Roman"/>
          <w:szCs w:val="24"/>
          <w:lang w:val="en-US" w:eastAsia="en-GB"/>
        </w:rPr>
        <w:t>is</w:t>
      </w:r>
      <w:r w:rsidRPr="00154F2C">
        <w:rPr>
          <w:rFonts w:eastAsia="Times New Roman" w:cs="Times New Roman"/>
          <w:spacing w:val="35"/>
          <w:szCs w:val="24"/>
          <w:lang w:val="en-US" w:eastAsia="en-GB"/>
        </w:rPr>
        <w:t xml:space="preserve"> </w:t>
      </w:r>
      <w:r w:rsidRPr="00154F2C">
        <w:rPr>
          <w:rFonts w:eastAsia="Times New Roman" w:cs="Times New Roman"/>
          <w:szCs w:val="24"/>
          <w:lang w:val="en-US" w:eastAsia="en-GB"/>
        </w:rPr>
        <w:t>transcribed</w:t>
      </w:r>
      <w:r w:rsidRPr="00154F2C">
        <w:rPr>
          <w:rFonts w:eastAsia="Times New Roman" w:cs="Times New Roman"/>
          <w:spacing w:val="36"/>
          <w:szCs w:val="24"/>
          <w:lang w:val="en-US" w:eastAsia="en-GB"/>
        </w:rPr>
        <w:t xml:space="preserve"> </w:t>
      </w:r>
      <w:r w:rsidRPr="00154F2C">
        <w:rPr>
          <w:rFonts w:eastAsia="Times New Roman" w:cs="Times New Roman"/>
          <w:szCs w:val="24"/>
          <w:lang w:val="en-US" w:eastAsia="en-GB"/>
        </w:rPr>
        <w:t>at</w:t>
      </w:r>
      <w:r w:rsidRPr="00154F2C">
        <w:rPr>
          <w:rFonts w:eastAsia="Times New Roman" w:cs="Times New Roman"/>
          <w:spacing w:val="37"/>
          <w:szCs w:val="24"/>
          <w:lang w:val="en-US" w:eastAsia="en-GB"/>
        </w:rPr>
        <w:t xml:space="preserve"> </w:t>
      </w:r>
      <w:r w:rsidRPr="00154F2C">
        <w:rPr>
          <w:rFonts w:eastAsia="Times New Roman" w:cs="Times New Roman"/>
          <w:szCs w:val="24"/>
          <w:lang w:val="en-US" w:eastAsia="en-GB"/>
        </w:rPr>
        <w:t>public</w:t>
      </w:r>
      <w:r w:rsidRPr="00154F2C">
        <w:rPr>
          <w:rFonts w:eastAsia="Times New Roman" w:cs="Times New Roman"/>
          <w:spacing w:val="36"/>
          <w:szCs w:val="24"/>
          <w:lang w:val="en-US" w:eastAsia="en-GB"/>
        </w:rPr>
        <w:t xml:space="preserve"> </w:t>
      </w:r>
      <w:r w:rsidRPr="00154F2C">
        <w:rPr>
          <w:rFonts w:eastAsia="Times New Roman" w:cs="Times New Roman"/>
          <w:szCs w:val="24"/>
          <w:lang w:val="en-US" w:eastAsia="en-GB"/>
        </w:rPr>
        <w:t>expense</w:t>
      </w:r>
      <w:r w:rsidRPr="00501D32">
        <w:rPr>
          <w:rFonts w:eastAsia="Times New Roman" w:cs="Times New Roman"/>
          <w:szCs w:val="24"/>
          <w:lang w:val="en-US" w:eastAsia="en-GB"/>
        </w:rPr>
        <w:t xml:space="preserve"> and</w:t>
      </w:r>
      <w:r w:rsidRPr="00154F2C">
        <w:rPr>
          <w:rFonts w:eastAsia="Times New Roman" w:cs="Times New Roman"/>
          <w:szCs w:val="24"/>
          <w:lang w:val="en-US" w:eastAsia="en-GB"/>
        </w:rPr>
        <w:t xml:space="preserve"> </w:t>
      </w:r>
      <w:r w:rsidRPr="00501D32">
        <w:rPr>
          <w:rFonts w:eastAsia="Times New Roman" w:cs="Times New Roman"/>
          <w:szCs w:val="24"/>
          <w:lang w:val="en-US" w:eastAsia="en-GB"/>
        </w:rPr>
        <w:t>c</w:t>
      </w:r>
      <w:r w:rsidRPr="00154F2C">
        <w:rPr>
          <w:rFonts w:eastAsia="Times New Roman" w:cs="Times New Roman"/>
          <w:szCs w:val="24"/>
          <w:lang w:val="en-US" w:eastAsia="en-GB"/>
        </w:rPr>
        <w:t>opies</w:t>
      </w:r>
      <w:r w:rsidRPr="00154F2C">
        <w:rPr>
          <w:rFonts w:eastAsia="Times New Roman" w:cs="Times New Roman"/>
          <w:spacing w:val="22"/>
          <w:szCs w:val="24"/>
          <w:lang w:val="en-US" w:eastAsia="en-GB"/>
        </w:rPr>
        <w:t xml:space="preserve"> </w:t>
      </w:r>
      <w:r w:rsidRPr="00501D32">
        <w:rPr>
          <w:rFonts w:eastAsia="Times New Roman" w:cs="Times New Roman"/>
          <w:spacing w:val="22"/>
          <w:szCs w:val="24"/>
          <w:lang w:val="en-US" w:eastAsia="en-GB"/>
        </w:rPr>
        <w:t xml:space="preserve">sent to </w:t>
      </w:r>
      <w:r w:rsidRPr="00154F2C">
        <w:rPr>
          <w:rFonts w:eastAsia="Times New Roman" w:cs="Times New Roman"/>
          <w:szCs w:val="24"/>
          <w:lang w:val="en-US" w:eastAsia="en-GB"/>
        </w:rPr>
        <w:t>the press</w:t>
      </w:r>
      <w:r w:rsidRPr="00501D32">
        <w:rPr>
          <w:rFonts w:eastAsia="Times New Roman" w:cs="Times New Roman"/>
          <w:szCs w:val="24"/>
          <w:lang w:val="en-US" w:eastAsia="en-GB"/>
        </w:rPr>
        <w:t>.</w:t>
      </w:r>
      <w:r w:rsidRPr="00154F2C">
        <w:rPr>
          <w:rFonts w:eastAsia="Times New Roman" w:cs="Times New Roman"/>
          <w:szCs w:val="24"/>
          <w:lang w:val="en-US" w:eastAsia="en-GB"/>
        </w:rPr>
        <w:t>  </w:t>
      </w:r>
      <w:r w:rsidR="00501D32" w:rsidRPr="00501D32">
        <w:rPr>
          <w:rFonts w:eastAsia="Times New Roman" w:cs="Times New Roman"/>
          <w:szCs w:val="24"/>
          <w:lang w:val="en-US" w:eastAsia="en-GB"/>
        </w:rPr>
        <w:t>When the</w:t>
      </w:r>
      <w:r w:rsidRPr="00154F2C">
        <w:rPr>
          <w:rFonts w:eastAsia="Times New Roman" w:cs="Times New Roman"/>
          <w:spacing w:val="49"/>
          <w:szCs w:val="24"/>
          <w:lang w:val="en-US" w:eastAsia="en-GB"/>
        </w:rPr>
        <w:t xml:space="preserve"> </w:t>
      </w:r>
      <w:r w:rsidRPr="00154F2C">
        <w:rPr>
          <w:rFonts w:eastAsia="Times New Roman" w:cs="Times New Roman"/>
          <w:szCs w:val="24"/>
          <w:lang w:val="en-US" w:eastAsia="en-GB"/>
        </w:rPr>
        <w:t>application</w:t>
      </w:r>
      <w:r w:rsidRPr="00154F2C">
        <w:rPr>
          <w:rFonts w:eastAsia="Times New Roman" w:cs="Times New Roman"/>
          <w:spacing w:val="49"/>
          <w:szCs w:val="24"/>
          <w:lang w:val="en-US" w:eastAsia="en-GB"/>
        </w:rPr>
        <w:t xml:space="preserve"> </w:t>
      </w:r>
      <w:r w:rsidR="00501D32" w:rsidRPr="00501D32">
        <w:rPr>
          <w:rFonts w:eastAsia="Times New Roman" w:cs="Times New Roman"/>
          <w:spacing w:val="49"/>
          <w:szCs w:val="24"/>
          <w:lang w:val="en-US" w:eastAsia="en-GB"/>
        </w:rPr>
        <w:t xml:space="preserve">had been </w:t>
      </w:r>
      <w:r w:rsidRPr="00154F2C">
        <w:rPr>
          <w:rFonts w:eastAsia="Times New Roman" w:cs="Times New Roman"/>
          <w:szCs w:val="24"/>
          <w:lang w:val="en-US" w:eastAsia="en-GB"/>
        </w:rPr>
        <w:t>listed</w:t>
      </w:r>
      <w:r w:rsidRPr="00154F2C">
        <w:rPr>
          <w:rFonts w:eastAsia="Times New Roman" w:cs="Times New Roman"/>
          <w:spacing w:val="48"/>
          <w:szCs w:val="24"/>
          <w:lang w:val="en-US" w:eastAsia="en-GB"/>
        </w:rPr>
        <w:t xml:space="preserve"> </w:t>
      </w:r>
      <w:r w:rsidRPr="00501D32">
        <w:rPr>
          <w:rFonts w:eastAsia="Times New Roman" w:cs="Times New Roman"/>
          <w:spacing w:val="48"/>
          <w:szCs w:val="24"/>
          <w:lang w:val="en-US" w:eastAsia="en-GB"/>
        </w:rPr>
        <w:t>in Marc</w:t>
      </w:r>
      <w:r w:rsidR="00501D32" w:rsidRPr="00501D32">
        <w:rPr>
          <w:rFonts w:eastAsia="Times New Roman" w:cs="Times New Roman"/>
          <w:spacing w:val="48"/>
          <w:szCs w:val="24"/>
          <w:lang w:val="en-US" w:eastAsia="en-GB"/>
        </w:rPr>
        <w:t>h</w:t>
      </w:r>
      <w:r w:rsidRPr="00501D32">
        <w:rPr>
          <w:rFonts w:eastAsia="Times New Roman" w:cs="Times New Roman"/>
          <w:spacing w:val="48"/>
          <w:szCs w:val="24"/>
          <w:lang w:val="en-US" w:eastAsia="en-GB"/>
        </w:rPr>
        <w:t xml:space="preserve">, </w:t>
      </w:r>
      <w:r w:rsidRPr="00154F2C">
        <w:rPr>
          <w:rFonts w:eastAsia="Times New Roman" w:cs="Times New Roman"/>
          <w:szCs w:val="24"/>
          <w:lang w:val="en-US" w:eastAsia="en-GB"/>
        </w:rPr>
        <w:t>there were</w:t>
      </w:r>
      <w:r w:rsidRPr="00154F2C">
        <w:rPr>
          <w:rFonts w:eastAsia="Times New Roman" w:cs="Times New Roman"/>
          <w:spacing w:val="40"/>
          <w:szCs w:val="24"/>
          <w:lang w:val="en-US" w:eastAsia="en-GB"/>
        </w:rPr>
        <w:t xml:space="preserve"> </w:t>
      </w:r>
      <w:r w:rsidRPr="00154F2C">
        <w:rPr>
          <w:rFonts w:eastAsia="Times New Roman" w:cs="Times New Roman"/>
          <w:szCs w:val="24"/>
          <w:lang w:val="en-US" w:eastAsia="en-GB"/>
        </w:rPr>
        <w:t>17 pending referrals for secure beds in secure accommodation units throughout</w:t>
      </w:r>
      <w:r w:rsidRPr="00154F2C">
        <w:rPr>
          <w:rFonts w:eastAsia="Times New Roman" w:cs="Times New Roman"/>
          <w:spacing w:val="51"/>
          <w:szCs w:val="24"/>
          <w:lang w:val="en-US" w:eastAsia="en-GB"/>
        </w:rPr>
        <w:t xml:space="preserve"> </w:t>
      </w:r>
      <w:r w:rsidRPr="00154F2C">
        <w:rPr>
          <w:rFonts w:eastAsia="Times New Roman" w:cs="Times New Roman"/>
          <w:szCs w:val="24"/>
          <w:lang w:val="en-US" w:eastAsia="en-GB"/>
        </w:rPr>
        <w:t>England and</w:t>
      </w:r>
      <w:r w:rsidRPr="00154F2C">
        <w:rPr>
          <w:rFonts w:eastAsia="Times New Roman" w:cs="Times New Roman"/>
          <w:spacing w:val="22"/>
          <w:szCs w:val="24"/>
          <w:lang w:val="en-US" w:eastAsia="en-GB"/>
        </w:rPr>
        <w:t xml:space="preserve"> </w:t>
      </w:r>
      <w:r w:rsidRPr="00154F2C">
        <w:rPr>
          <w:rFonts w:eastAsia="Times New Roman" w:cs="Times New Roman"/>
          <w:szCs w:val="24"/>
          <w:lang w:val="en-US" w:eastAsia="en-GB"/>
        </w:rPr>
        <w:t>Wales.</w:t>
      </w:r>
      <w:r w:rsidRPr="00154F2C">
        <w:rPr>
          <w:rFonts w:eastAsia="Times New Roman" w:cs="Times New Roman"/>
          <w:spacing w:val="46"/>
          <w:szCs w:val="24"/>
          <w:lang w:val="en-US" w:eastAsia="en-GB"/>
        </w:rPr>
        <w:t xml:space="preserve"> </w:t>
      </w:r>
      <w:r w:rsidRPr="00154F2C">
        <w:rPr>
          <w:rFonts w:eastAsia="Times New Roman" w:cs="Times New Roman"/>
          <w:szCs w:val="24"/>
          <w:lang w:val="en-US" w:eastAsia="en-GB"/>
        </w:rPr>
        <w:t xml:space="preserve"> The young person concerned was involved not only with a Children Act</w:t>
      </w:r>
      <w:r w:rsidRPr="00154F2C">
        <w:rPr>
          <w:rFonts w:eastAsia="Times New Roman" w:cs="Times New Roman"/>
          <w:spacing w:val="53"/>
          <w:szCs w:val="24"/>
          <w:lang w:val="en-US" w:eastAsia="en-GB"/>
        </w:rPr>
        <w:t xml:space="preserve"> </w:t>
      </w:r>
      <w:r w:rsidRPr="00154F2C">
        <w:rPr>
          <w:rFonts w:eastAsia="Times New Roman" w:cs="Times New Roman"/>
          <w:szCs w:val="24"/>
          <w:lang w:val="en-US" w:eastAsia="en-GB"/>
        </w:rPr>
        <w:t>1989 application,</w:t>
      </w:r>
      <w:r w:rsidRPr="00154F2C">
        <w:rPr>
          <w:rFonts w:eastAsia="Times New Roman" w:cs="Times New Roman"/>
          <w:spacing w:val="21"/>
          <w:szCs w:val="24"/>
          <w:lang w:val="en-US" w:eastAsia="en-GB"/>
        </w:rPr>
        <w:t xml:space="preserve"> </w:t>
      </w:r>
      <w:r w:rsidRPr="00154F2C">
        <w:rPr>
          <w:rFonts w:eastAsia="Times New Roman" w:cs="Times New Roman"/>
          <w:szCs w:val="24"/>
          <w:lang w:val="en-US" w:eastAsia="en-GB"/>
        </w:rPr>
        <w:t>but</w:t>
      </w:r>
      <w:r w:rsidRPr="00154F2C">
        <w:rPr>
          <w:rFonts w:eastAsia="Times New Roman" w:cs="Times New Roman"/>
          <w:spacing w:val="22"/>
          <w:szCs w:val="24"/>
          <w:lang w:val="en-US" w:eastAsia="en-GB"/>
        </w:rPr>
        <w:t xml:space="preserve"> </w:t>
      </w:r>
      <w:r w:rsidRPr="00154F2C">
        <w:rPr>
          <w:rFonts w:eastAsia="Times New Roman" w:cs="Times New Roman"/>
          <w:szCs w:val="24"/>
          <w:lang w:val="en-US" w:eastAsia="en-GB"/>
        </w:rPr>
        <w:t>also</w:t>
      </w:r>
      <w:r w:rsidRPr="00154F2C">
        <w:rPr>
          <w:rFonts w:eastAsia="Times New Roman" w:cs="Times New Roman"/>
          <w:spacing w:val="22"/>
          <w:szCs w:val="24"/>
          <w:lang w:val="en-US" w:eastAsia="en-GB"/>
        </w:rPr>
        <w:t xml:space="preserve"> </w:t>
      </w:r>
      <w:r w:rsidRPr="00154F2C">
        <w:rPr>
          <w:rFonts w:eastAsia="Times New Roman" w:cs="Times New Roman"/>
          <w:szCs w:val="24"/>
          <w:lang w:val="en-US" w:eastAsia="en-GB"/>
        </w:rPr>
        <w:t>potentially</w:t>
      </w:r>
      <w:r w:rsidRPr="00154F2C">
        <w:rPr>
          <w:rFonts w:eastAsia="Times New Roman" w:cs="Times New Roman"/>
          <w:spacing w:val="19"/>
          <w:szCs w:val="24"/>
          <w:lang w:val="en-US" w:eastAsia="en-GB"/>
        </w:rPr>
        <w:t xml:space="preserve"> </w:t>
      </w:r>
      <w:r w:rsidRPr="00154F2C">
        <w:rPr>
          <w:rFonts w:eastAsia="Times New Roman" w:cs="Times New Roman"/>
          <w:szCs w:val="24"/>
          <w:lang w:val="en-US" w:eastAsia="en-GB"/>
        </w:rPr>
        <w:t>with</w:t>
      </w:r>
      <w:r w:rsidRPr="00154F2C">
        <w:rPr>
          <w:rFonts w:eastAsia="Times New Roman" w:cs="Times New Roman"/>
          <w:spacing w:val="21"/>
          <w:szCs w:val="24"/>
          <w:lang w:val="en-US" w:eastAsia="en-GB"/>
        </w:rPr>
        <w:t xml:space="preserve"> </w:t>
      </w:r>
      <w:r w:rsidRPr="00154F2C">
        <w:rPr>
          <w:rFonts w:eastAsia="Times New Roman" w:cs="Times New Roman"/>
          <w:szCs w:val="24"/>
          <w:lang w:val="en-US" w:eastAsia="en-GB"/>
        </w:rPr>
        <w:t>the</w:t>
      </w:r>
      <w:r w:rsidRPr="00154F2C">
        <w:rPr>
          <w:rFonts w:eastAsia="Times New Roman" w:cs="Times New Roman"/>
          <w:spacing w:val="21"/>
          <w:szCs w:val="24"/>
          <w:lang w:val="en-US" w:eastAsia="en-GB"/>
        </w:rPr>
        <w:t xml:space="preserve"> </w:t>
      </w:r>
      <w:r w:rsidRPr="00154F2C">
        <w:rPr>
          <w:rFonts w:eastAsia="Times New Roman" w:cs="Times New Roman"/>
          <w:szCs w:val="24"/>
          <w:lang w:val="en-US" w:eastAsia="en-GB"/>
        </w:rPr>
        <w:t>criminal</w:t>
      </w:r>
      <w:r w:rsidRPr="00154F2C">
        <w:rPr>
          <w:rFonts w:eastAsia="Times New Roman" w:cs="Times New Roman"/>
          <w:spacing w:val="22"/>
          <w:szCs w:val="24"/>
          <w:lang w:val="en-US" w:eastAsia="en-GB"/>
        </w:rPr>
        <w:t xml:space="preserve"> </w:t>
      </w:r>
      <w:r w:rsidRPr="00154F2C">
        <w:rPr>
          <w:rFonts w:eastAsia="Times New Roman" w:cs="Times New Roman"/>
          <w:szCs w:val="24"/>
          <w:lang w:val="en-US" w:eastAsia="en-GB"/>
        </w:rPr>
        <w:t>justice</w:t>
      </w:r>
      <w:r w:rsidRPr="00154F2C">
        <w:rPr>
          <w:rFonts w:eastAsia="Times New Roman" w:cs="Times New Roman"/>
          <w:spacing w:val="20"/>
          <w:szCs w:val="24"/>
          <w:lang w:val="en-US" w:eastAsia="en-GB"/>
        </w:rPr>
        <w:t xml:space="preserve"> </w:t>
      </w:r>
      <w:r w:rsidRPr="00154F2C">
        <w:rPr>
          <w:rFonts w:eastAsia="Times New Roman" w:cs="Times New Roman"/>
          <w:szCs w:val="24"/>
          <w:lang w:val="en-US" w:eastAsia="en-GB"/>
        </w:rPr>
        <w:t>system</w:t>
      </w:r>
      <w:r w:rsidRPr="00154F2C">
        <w:rPr>
          <w:rFonts w:eastAsia="Times New Roman" w:cs="Times New Roman"/>
          <w:spacing w:val="22"/>
          <w:szCs w:val="24"/>
          <w:lang w:val="en-US" w:eastAsia="en-GB"/>
        </w:rPr>
        <w:t xml:space="preserve"> </w:t>
      </w:r>
      <w:r w:rsidRPr="00501D32">
        <w:rPr>
          <w:rFonts w:eastAsia="Times New Roman" w:cs="Times New Roman"/>
          <w:spacing w:val="22"/>
          <w:szCs w:val="24"/>
          <w:lang w:val="en-US" w:eastAsia="en-GB"/>
        </w:rPr>
        <w:t>and t</w:t>
      </w:r>
      <w:r w:rsidRPr="00154F2C">
        <w:rPr>
          <w:rFonts w:eastAsia="Times New Roman" w:cs="Times New Roman"/>
          <w:szCs w:val="24"/>
          <w:lang w:val="en-US" w:eastAsia="en-GB"/>
        </w:rPr>
        <w:t>here</w:t>
      </w:r>
      <w:r w:rsidRPr="00154F2C">
        <w:rPr>
          <w:rFonts w:eastAsia="Times New Roman" w:cs="Times New Roman"/>
          <w:spacing w:val="20"/>
          <w:szCs w:val="24"/>
          <w:lang w:val="en-US" w:eastAsia="en-GB"/>
        </w:rPr>
        <w:t xml:space="preserve"> </w:t>
      </w:r>
      <w:r w:rsidRPr="00154F2C">
        <w:rPr>
          <w:rFonts w:eastAsia="Times New Roman" w:cs="Times New Roman"/>
          <w:szCs w:val="24"/>
          <w:lang w:val="en-US" w:eastAsia="en-GB"/>
        </w:rPr>
        <w:t>w</w:t>
      </w:r>
      <w:r w:rsidRPr="00501D32">
        <w:rPr>
          <w:rFonts w:eastAsia="Times New Roman" w:cs="Times New Roman"/>
          <w:szCs w:val="24"/>
          <w:lang w:val="en-US" w:eastAsia="en-GB"/>
        </w:rPr>
        <w:t>ere</w:t>
      </w:r>
      <w:r w:rsidRPr="00154F2C">
        <w:rPr>
          <w:rFonts w:eastAsia="Times New Roman" w:cs="Times New Roman"/>
          <w:szCs w:val="24"/>
          <w:lang w:val="en-US" w:eastAsia="en-GB"/>
        </w:rPr>
        <w:t xml:space="preserve"> possibilit</w:t>
      </w:r>
      <w:r w:rsidRPr="00501D32">
        <w:rPr>
          <w:rFonts w:eastAsia="Times New Roman" w:cs="Times New Roman"/>
          <w:szCs w:val="24"/>
          <w:lang w:val="en-US" w:eastAsia="en-GB"/>
        </w:rPr>
        <w:t>ies</w:t>
      </w:r>
      <w:r w:rsidRPr="00154F2C">
        <w:rPr>
          <w:rFonts w:eastAsia="Times New Roman" w:cs="Times New Roman"/>
          <w:szCs w:val="24"/>
          <w:lang w:val="en-US" w:eastAsia="en-GB"/>
        </w:rPr>
        <w:t xml:space="preserve"> that a placement might become available outside the jurisdiction,</w:t>
      </w:r>
      <w:r w:rsidRPr="00154F2C">
        <w:rPr>
          <w:rFonts w:eastAsia="Times New Roman" w:cs="Times New Roman"/>
          <w:spacing w:val="25"/>
          <w:szCs w:val="24"/>
          <w:lang w:val="en-US" w:eastAsia="en-GB"/>
        </w:rPr>
        <w:t xml:space="preserve"> </w:t>
      </w:r>
      <w:r w:rsidRPr="00154F2C">
        <w:rPr>
          <w:rFonts w:eastAsia="Times New Roman" w:cs="Times New Roman"/>
          <w:szCs w:val="24"/>
          <w:lang w:val="en-US" w:eastAsia="en-GB"/>
        </w:rPr>
        <w:t>in</w:t>
      </w:r>
      <w:r w:rsidRPr="00154F2C">
        <w:rPr>
          <w:rFonts w:eastAsia="Times New Roman" w:cs="Times New Roman"/>
          <w:spacing w:val="25"/>
          <w:szCs w:val="24"/>
          <w:lang w:val="en-US" w:eastAsia="en-GB"/>
        </w:rPr>
        <w:t xml:space="preserve"> </w:t>
      </w:r>
      <w:r w:rsidRPr="00154F2C">
        <w:rPr>
          <w:rFonts w:eastAsia="Times New Roman" w:cs="Times New Roman"/>
          <w:szCs w:val="24"/>
          <w:lang w:val="en-US" w:eastAsia="en-GB"/>
        </w:rPr>
        <w:t>Scotland,</w:t>
      </w:r>
      <w:r w:rsidRPr="00154F2C">
        <w:rPr>
          <w:rFonts w:eastAsia="Times New Roman" w:cs="Times New Roman"/>
          <w:spacing w:val="23"/>
          <w:szCs w:val="24"/>
          <w:lang w:val="en-US" w:eastAsia="en-GB"/>
        </w:rPr>
        <w:t xml:space="preserve"> </w:t>
      </w:r>
      <w:r w:rsidRPr="00501D32">
        <w:rPr>
          <w:rFonts w:eastAsia="Times New Roman" w:cs="Times New Roman"/>
          <w:spacing w:val="23"/>
          <w:szCs w:val="24"/>
          <w:lang w:val="en-US" w:eastAsia="en-GB"/>
        </w:rPr>
        <w:t>or through</w:t>
      </w:r>
      <w:r w:rsidRPr="00154F2C">
        <w:rPr>
          <w:rFonts w:eastAsia="Times New Roman" w:cs="Times New Roman"/>
          <w:szCs w:val="24"/>
          <w:lang w:val="en-US" w:eastAsia="en-GB"/>
        </w:rPr>
        <w:t xml:space="preserve"> </w:t>
      </w:r>
      <w:r w:rsidRPr="00501D32">
        <w:rPr>
          <w:rFonts w:eastAsia="Times New Roman" w:cs="Times New Roman"/>
          <w:szCs w:val="24"/>
          <w:lang w:val="en-US" w:eastAsia="en-GB"/>
        </w:rPr>
        <w:t>‘</w:t>
      </w:r>
      <w:r w:rsidRPr="00154F2C">
        <w:rPr>
          <w:rFonts w:eastAsia="Times New Roman" w:cs="Times New Roman"/>
          <w:szCs w:val="24"/>
          <w:lang w:val="en-US" w:eastAsia="en-GB"/>
        </w:rPr>
        <w:t xml:space="preserve">criminal </w:t>
      </w:r>
      <w:r w:rsidRPr="00501D32">
        <w:rPr>
          <w:rFonts w:eastAsia="Times New Roman" w:cs="Times New Roman"/>
          <w:szCs w:val="24"/>
          <w:lang w:val="en-US" w:eastAsia="en-GB"/>
        </w:rPr>
        <w:t>b</w:t>
      </w:r>
      <w:r w:rsidRPr="00154F2C">
        <w:rPr>
          <w:rFonts w:eastAsia="Times New Roman" w:cs="Times New Roman"/>
          <w:szCs w:val="24"/>
          <w:lang w:val="en-US" w:eastAsia="en-GB"/>
        </w:rPr>
        <w:t>eds</w:t>
      </w:r>
      <w:r w:rsidRPr="00501D32">
        <w:rPr>
          <w:rFonts w:eastAsia="Times New Roman" w:cs="Times New Roman"/>
          <w:szCs w:val="24"/>
          <w:lang w:val="en-US" w:eastAsia="en-GB"/>
        </w:rPr>
        <w:t>’</w:t>
      </w:r>
      <w:r w:rsidRPr="00154F2C">
        <w:rPr>
          <w:rFonts w:eastAsia="Times New Roman" w:cs="Times New Roman"/>
          <w:szCs w:val="24"/>
          <w:lang w:val="en-US" w:eastAsia="en-GB"/>
        </w:rPr>
        <w:t xml:space="preserve"> in</w:t>
      </w:r>
      <w:r w:rsidRPr="00154F2C">
        <w:rPr>
          <w:rFonts w:eastAsia="Times New Roman" w:cs="Times New Roman"/>
          <w:spacing w:val="1"/>
          <w:szCs w:val="24"/>
          <w:lang w:val="en-US" w:eastAsia="en-GB"/>
        </w:rPr>
        <w:t xml:space="preserve"> </w:t>
      </w:r>
      <w:r w:rsidRPr="00154F2C">
        <w:rPr>
          <w:rFonts w:eastAsia="Times New Roman" w:cs="Times New Roman"/>
          <w:szCs w:val="24"/>
          <w:lang w:val="en-US" w:eastAsia="en-GB"/>
        </w:rPr>
        <w:t>Leeds.</w:t>
      </w:r>
      <w:r w:rsidRPr="00501D32">
        <w:rPr>
          <w:rFonts w:eastAsia="Times New Roman" w:cs="Times New Roman"/>
          <w:szCs w:val="24"/>
          <w:lang w:val="en-US" w:eastAsia="en-GB"/>
        </w:rPr>
        <w:t xml:space="preserve"> However thes</w:t>
      </w:r>
      <w:r w:rsidR="00C51A6C">
        <w:rPr>
          <w:rFonts w:eastAsia="Times New Roman" w:cs="Times New Roman"/>
          <w:szCs w:val="24"/>
          <w:lang w:val="en-US" w:eastAsia="en-GB"/>
        </w:rPr>
        <w:t>e</w:t>
      </w:r>
      <w:r w:rsidRPr="00501D32">
        <w:rPr>
          <w:rFonts w:eastAsia="Times New Roman" w:cs="Times New Roman"/>
          <w:szCs w:val="24"/>
          <w:lang w:val="en-US" w:eastAsia="en-GB"/>
        </w:rPr>
        <w:t xml:space="preserve"> did not </w:t>
      </w:r>
      <w:proofErr w:type="spellStart"/>
      <w:r w:rsidR="00C51A6C">
        <w:rPr>
          <w:rFonts w:eastAsia="Times New Roman" w:cs="Times New Roman"/>
          <w:szCs w:val="24"/>
          <w:lang w:val="en-US" w:eastAsia="en-GB"/>
        </w:rPr>
        <w:t>materialise</w:t>
      </w:r>
      <w:proofErr w:type="spellEnd"/>
      <w:r w:rsidRPr="00501D32">
        <w:rPr>
          <w:rFonts w:eastAsia="Times New Roman" w:cs="Times New Roman"/>
          <w:szCs w:val="24"/>
          <w:lang w:val="en-US" w:eastAsia="en-GB"/>
        </w:rPr>
        <w:t>. The 15</w:t>
      </w:r>
      <w:r w:rsidR="00C51A6C">
        <w:rPr>
          <w:rFonts w:eastAsia="Times New Roman" w:cs="Times New Roman"/>
          <w:szCs w:val="24"/>
          <w:lang w:val="en-US" w:eastAsia="en-GB"/>
        </w:rPr>
        <w:t>-</w:t>
      </w:r>
      <w:r w:rsidRPr="00501D32">
        <w:rPr>
          <w:rFonts w:eastAsia="Times New Roman" w:cs="Times New Roman"/>
          <w:szCs w:val="24"/>
          <w:lang w:val="en-US" w:eastAsia="en-GB"/>
        </w:rPr>
        <w:t>year-</w:t>
      </w:r>
      <w:r w:rsidR="00C51A6C">
        <w:rPr>
          <w:rFonts w:eastAsia="Times New Roman" w:cs="Times New Roman"/>
          <w:szCs w:val="24"/>
          <w:lang w:val="en-US" w:eastAsia="en-GB"/>
        </w:rPr>
        <w:t>ol</w:t>
      </w:r>
      <w:r w:rsidRPr="00501D32">
        <w:rPr>
          <w:rFonts w:eastAsia="Times New Roman" w:cs="Times New Roman"/>
          <w:szCs w:val="24"/>
          <w:lang w:val="en-US" w:eastAsia="en-GB"/>
        </w:rPr>
        <w:t>d was at r</w:t>
      </w:r>
      <w:r w:rsidR="00C51A6C">
        <w:rPr>
          <w:rFonts w:eastAsia="Times New Roman" w:cs="Times New Roman"/>
          <w:szCs w:val="24"/>
          <w:lang w:val="en-US" w:eastAsia="en-GB"/>
        </w:rPr>
        <w:t>i</w:t>
      </w:r>
      <w:r w:rsidRPr="00501D32">
        <w:rPr>
          <w:rFonts w:eastAsia="Times New Roman" w:cs="Times New Roman"/>
          <w:szCs w:val="24"/>
          <w:lang w:val="en-US" w:eastAsia="en-GB"/>
        </w:rPr>
        <w:t>sk and had a h</w:t>
      </w:r>
      <w:r w:rsidR="00C51A6C">
        <w:rPr>
          <w:rFonts w:eastAsia="Times New Roman" w:cs="Times New Roman"/>
          <w:szCs w:val="24"/>
          <w:lang w:val="en-US" w:eastAsia="en-GB"/>
        </w:rPr>
        <w:t>i</w:t>
      </w:r>
      <w:r w:rsidRPr="00501D32">
        <w:rPr>
          <w:rFonts w:eastAsia="Times New Roman" w:cs="Times New Roman"/>
          <w:szCs w:val="24"/>
          <w:lang w:val="en-US" w:eastAsia="en-GB"/>
        </w:rPr>
        <w:t>s</w:t>
      </w:r>
      <w:r w:rsidR="00C51A6C">
        <w:rPr>
          <w:rFonts w:eastAsia="Times New Roman" w:cs="Times New Roman"/>
          <w:szCs w:val="24"/>
          <w:lang w:val="en-US" w:eastAsia="en-GB"/>
        </w:rPr>
        <w:t>t</w:t>
      </w:r>
      <w:r w:rsidRPr="00501D32">
        <w:rPr>
          <w:rFonts w:eastAsia="Times New Roman" w:cs="Times New Roman"/>
          <w:szCs w:val="24"/>
          <w:lang w:val="en-US" w:eastAsia="en-GB"/>
        </w:rPr>
        <w:t>ory</w:t>
      </w:r>
      <w:r w:rsidR="00C51A6C">
        <w:rPr>
          <w:rFonts w:eastAsia="Times New Roman" w:cs="Times New Roman"/>
          <w:szCs w:val="24"/>
          <w:lang w:val="en-US" w:eastAsia="en-GB"/>
        </w:rPr>
        <w:t xml:space="preserve"> </w:t>
      </w:r>
      <w:r w:rsidRPr="00501D32">
        <w:rPr>
          <w:rFonts w:eastAsia="Times New Roman" w:cs="Times New Roman"/>
          <w:szCs w:val="24"/>
          <w:lang w:val="en-US" w:eastAsia="en-GB"/>
        </w:rPr>
        <w:t>of absconding. The ju</w:t>
      </w:r>
      <w:r w:rsidR="00C51A6C">
        <w:rPr>
          <w:rFonts w:eastAsia="Times New Roman" w:cs="Times New Roman"/>
          <w:szCs w:val="24"/>
          <w:lang w:val="en-US" w:eastAsia="en-GB"/>
        </w:rPr>
        <w:t>dge</w:t>
      </w:r>
      <w:r w:rsidRPr="00501D32">
        <w:rPr>
          <w:rFonts w:eastAsia="Times New Roman" w:cs="Times New Roman"/>
          <w:szCs w:val="24"/>
          <w:lang w:val="en-US" w:eastAsia="en-GB"/>
        </w:rPr>
        <w:t xml:space="preserve"> de</w:t>
      </w:r>
      <w:r w:rsidR="00C51A6C">
        <w:rPr>
          <w:rFonts w:eastAsia="Times New Roman" w:cs="Times New Roman"/>
          <w:szCs w:val="24"/>
          <w:lang w:val="en-US" w:eastAsia="en-GB"/>
        </w:rPr>
        <w:t>scribed</w:t>
      </w:r>
      <w:r w:rsidRPr="00501D32">
        <w:rPr>
          <w:rFonts w:eastAsia="Times New Roman" w:cs="Times New Roman"/>
          <w:szCs w:val="24"/>
          <w:lang w:val="en-US" w:eastAsia="en-GB"/>
        </w:rPr>
        <w:t xml:space="preserve"> her as </w:t>
      </w:r>
      <w:r w:rsidR="00C51A6C">
        <w:rPr>
          <w:rFonts w:eastAsia="Times New Roman" w:cs="Times New Roman"/>
          <w:szCs w:val="24"/>
          <w:lang w:val="en-US" w:eastAsia="en-GB"/>
        </w:rPr>
        <w:t xml:space="preserve">a </w:t>
      </w:r>
      <w:r w:rsidRPr="00501D32">
        <w:rPr>
          <w:rFonts w:eastAsia="Times New Roman" w:cs="Times New Roman"/>
          <w:szCs w:val="24"/>
          <w:lang w:val="en-US" w:eastAsia="en-GB"/>
        </w:rPr>
        <w:t xml:space="preserve">fragile </w:t>
      </w:r>
      <w:r w:rsidR="00501D32" w:rsidRPr="00501D32">
        <w:rPr>
          <w:rFonts w:eastAsia="Times New Roman" w:cs="Times New Roman"/>
          <w:szCs w:val="24"/>
          <w:lang w:val="en-US" w:eastAsia="en-GB"/>
        </w:rPr>
        <w:t>individual. He c</w:t>
      </w:r>
      <w:r w:rsidR="00C51A6C">
        <w:rPr>
          <w:rFonts w:eastAsia="Times New Roman" w:cs="Times New Roman"/>
          <w:szCs w:val="24"/>
          <w:lang w:val="en-US" w:eastAsia="en-GB"/>
        </w:rPr>
        <w:t>om</w:t>
      </w:r>
      <w:r w:rsidR="00501D32" w:rsidRPr="00501D32">
        <w:rPr>
          <w:rFonts w:eastAsia="Times New Roman" w:cs="Times New Roman"/>
          <w:szCs w:val="24"/>
          <w:lang w:val="en-US" w:eastAsia="en-GB"/>
        </w:rPr>
        <w:t>plaine</w:t>
      </w:r>
      <w:r w:rsidR="00C51A6C">
        <w:rPr>
          <w:rFonts w:eastAsia="Times New Roman" w:cs="Times New Roman"/>
          <w:szCs w:val="24"/>
          <w:lang w:val="en-US" w:eastAsia="en-GB"/>
        </w:rPr>
        <w:t>d</w:t>
      </w:r>
      <w:r w:rsidR="00501D32" w:rsidRPr="00501D32">
        <w:rPr>
          <w:rFonts w:eastAsia="Times New Roman" w:cs="Times New Roman"/>
          <w:szCs w:val="24"/>
          <w:lang w:val="en-US" w:eastAsia="en-GB"/>
        </w:rPr>
        <w:t xml:space="preserve"> that</w:t>
      </w:r>
      <w:r w:rsidR="00C51A6C">
        <w:rPr>
          <w:rFonts w:eastAsia="Times New Roman" w:cs="Times New Roman"/>
          <w:szCs w:val="24"/>
          <w:lang w:val="en-US" w:eastAsia="en-GB"/>
        </w:rPr>
        <w:t>,</w:t>
      </w:r>
      <w:r w:rsidR="00501D32" w:rsidRPr="00501D32">
        <w:rPr>
          <w:rFonts w:eastAsia="Times New Roman" w:cs="Times New Roman"/>
          <w:szCs w:val="24"/>
          <w:lang w:val="en-US" w:eastAsia="en-GB"/>
        </w:rPr>
        <w:t xml:space="preserve"> </w:t>
      </w:r>
      <w:r w:rsidR="00C51A6C">
        <w:rPr>
          <w:rFonts w:eastAsia="Times New Roman" w:cs="Times New Roman"/>
          <w:szCs w:val="24"/>
          <w:lang w:val="en-US" w:eastAsia="en-GB"/>
        </w:rPr>
        <w:t>previously,</w:t>
      </w:r>
      <w:r w:rsidR="00501D32" w:rsidRPr="00501D32">
        <w:rPr>
          <w:rFonts w:eastAsia="Times New Roman" w:cs="Times New Roman"/>
          <w:szCs w:val="24"/>
          <w:lang w:val="en-US" w:eastAsia="en-GB"/>
        </w:rPr>
        <w:t xml:space="preserve"> </w:t>
      </w:r>
      <w:r w:rsidR="00C51A6C">
        <w:rPr>
          <w:rFonts w:eastAsia="Times New Roman" w:cs="Times New Roman"/>
          <w:szCs w:val="24"/>
          <w:lang w:val="en-US" w:eastAsia="en-GB"/>
        </w:rPr>
        <w:t xml:space="preserve">when a secure unit could be identified, an individual plan was put before the court but that it </w:t>
      </w:r>
      <w:r w:rsidR="00501D32" w:rsidRPr="00501D32">
        <w:rPr>
          <w:rFonts w:eastAsia="Times New Roman" w:cs="Times New Roman"/>
          <w:szCs w:val="24"/>
          <w:lang w:val="en-US" w:eastAsia="en-GB"/>
        </w:rPr>
        <w:t>was now not poss</w:t>
      </w:r>
      <w:r w:rsidR="00C51A6C">
        <w:rPr>
          <w:rFonts w:eastAsia="Times New Roman" w:cs="Times New Roman"/>
          <w:szCs w:val="24"/>
          <w:lang w:val="en-US" w:eastAsia="en-GB"/>
        </w:rPr>
        <w:t>i</w:t>
      </w:r>
      <w:r w:rsidR="00501D32" w:rsidRPr="00501D32">
        <w:rPr>
          <w:rFonts w:eastAsia="Times New Roman" w:cs="Times New Roman"/>
          <w:szCs w:val="24"/>
          <w:lang w:val="en-US" w:eastAsia="en-GB"/>
        </w:rPr>
        <w:t>bl</w:t>
      </w:r>
      <w:r w:rsidR="00C51A6C">
        <w:rPr>
          <w:rFonts w:eastAsia="Times New Roman" w:cs="Times New Roman"/>
          <w:szCs w:val="24"/>
          <w:lang w:val="en-US" w:eastAsia="en-GB"/>
        </w:rPr>
        <w:t>e</w:t>
      </w:r>
      <w:r w:rsidR="00501D32" w:rsidRPr="00501D32">
        <w:rPr>
          <w:rFonts w:eastAsia="Times New Roman" w:cs="Times New Roman"/>
          <w:szCs w:val="24"/>
          <w:lang w:val="en-US" w:eastAsia="en-GB"/>
        </w:rPr>
        <w:t xml:space="preserve"> to provide </w:t>
      </w:r>
      <w:r w:rsidR="00C51A6C">
        <w:rPr>
          <w:rFonts w:eastAsia="Times New Roman" w:cs="Times New Roman"/>
          <w:szCs w:val="24"/>
          <w:lang w:val="en-US" w:eastAsia="en-GB"/>
        </w:rPr>
        <w:t>a plan</w:t>
      </w:r>
      <w:r w:rsidR="00501D32" w:rsidRPr="00501D32">
        <w:rPr>
          <w:rFonts w:eastAsia="Times New Roman" w:cs="Times New Roman"/>
          <w:szCs w:val="24"/>
          <w:lang w:val="en-US" w:eastAsia="en-GB"/>
        </w:rPr>
        <w:t>.</w:t>
      </w:r>
    </w:p>
    <w:p w:rsidR="00154F2C" w:rsidRPr="00154F2C" w:rsidRDefault="00501D32" w:rsidP="00154F2C">
      <w:pPr>
        <w:spacing w:before="100" w:beforeAutospacing="1" w:after="100" w:afterAutospacing="1" w:line="240" w:lineRule="auto"/>
        <w:ind w:right="112"/>
        <w:jc w:val="both"/>
        <w:rPr>
          <w:rFonts w:eastAsia="Times New Roman" w:cs="Times New Roman"/>
          <w:szCs w:val="24"/>
          <w:lang w:eastAsia="en-GB"/>
        </w:rPr>
      </w:pPr>
      <w:r w:rsidRPr="00501D32">
        <w:rPr>
          <w:rFonts w:eastAsia="Times New Roman" w:cs="Times New Roman"/>
          <w:szCs w:val="24"/>
          <w:lang w:val="en-US" w:eastAsia="en-GB"/>
        </w:rPr>
        <w:t>A</w:t>
      </w:r>
      <w:r w:rsidR="00154F2C" w:rsidRPr="00154F2C">
        <w:rPr>
          <w:rFonts w:eastAsia="Times New Roman" w:cs="Times New Roman"/>
          <w:szCs w:val="24"/>
          <w:lang w:val="en-US" w:eastAsia="en-GB"/>
        </w:rPr>
        <w:t xml:space="preserve"> placement </w:t>
      </w:r>
      <w:r w:rsidRPr="00501D32">
        <w:rPr>
          <w:rFonts w:eastAsia="Times New Roman" w:cs="Times New Roman"/>
          <w:szCs w:val="24"/>
          <w:lang w:val="en-US" w:eastAsia="en-GB"/>
        </w:rPr>
        <w:t xml:space="preserve">was eventually </w:t>
      </w:r>
      <w:r w:rsidR="00154F2C" w:rsidRPr="00154F2C">
        <w:rPr>
          <w:rFonts w:eastAsia="Times New Roman" w:cs="Times New Roman"/>
          <w:szCs w:val="24"/>
          <w:lang w:val="en-US" w:eastAsia="en-GB"/>
        </w:rPr>
        <w:t>found for the young</w:t>
      </w:r>
      <w:r w:rsidR="00154F2C" w:rsidRPr="00154F2C">
        <w:rPr>
          <w:rFonts w:eastAsia="Times New Roman" w:cs="Times New Roman"/>
          <w:spacing w:val="16"/>
          <w:szCs w:val="24"/>
          <w:lang w:val="en-US" w:eastAsia="en-GB"/>
        </w:rPr>
        <w:t xml:space="preserve"> </w:t>
      </w:r>
      <w:r w:rsidR="00154F2C" w:rsidRPr="00154F2C">
        <w:rPr>
          <w:rFonts w:eastAsia="Times New Roman" w:cs="Times New Roman"/>
          <w:szCs w:val="24"/>
          <w:lang w:val="en-US" w:eastAsia="en-GB"/>
        </w:rPr>
        <w:t>person concerned,</w:t>
      </w:r>
      <w:r w:rsidR="00154F2C" w:rsidRPr="00154F2C">
        <w:rPr>
          <w:rFonts w:eastAsia="Times New Roman" w:cs="Times New Roman"/>
          <w:spacing w:val="24"/>
          <w:szCs w:val="24"/>
          <w:lang w:val="en-US" w:eastAsia="en-GB"/>
        </w:rPr>
        <w:t xml:space="preserve"> </w:t>
      </w:r>
      <w:r w:rsidR="00154F2C" w:rsidRPr="00154F2C">
        <w:rPr>
          <w:rFonts w:eastAsia="Times New Roman" w:cs="Times New Roman"/>
          <w:szCs w:val="24"/>
          <w:lang w:val="en-US" w:eastAsia="en-GB"/>
        </w:rPr>
        <w:t>but</w:t>
      </w:r>
      <w:r w:rsidR="00154F2C" w:rsidRPr="00154F2C">
        <w:rPr>
          <w:rFonts w:eastAsia="Times New Roman" w:cs="Times New Roman"/>
          <w:spacing w:val="25"/>
          <w:szCs w:val="24"/>
          <w:lang w:val="en-US" w:eastAsia="en-GB"/>
        </w:rPr>
        <w:t xml:space="preserve"> </w:t>
      </w:r>
      <w:r w:rsidR="00154F2C" w:rsidRPr="00154F2C">
        <w:rPr>
          <w:rFonts w:eastAsia="Times New Roman" w:cs="Times New Roman"/>
          <w:szCs w:val="24"/>
          <w:lang w:val="en-US" w:eastAsia="en-GB"/>
        </w:rPr>
        <w:t>a</w:t>
      </w:r>
      <w:r w:rsidR="00154F2C" w:rsidRPr="00154F2C">
        <w:rPr>
          <w:rFonts w:eastAsia="Times New Roman" w:cs="Times New Roman"/>
          <w:spacing w:val="26"/>
          <w:szCs w:val="24"/>
          <w:lang w:val="en-US" w:eastAsia="en-GB"/>
        </w:rPr>
        <w:t xml:space="preserve"> </w:t>
      </w:r>
      <w:r w:rsidR="00154F2C" w:rsidRPr="00154F2C">
        <w:rPr>
          <w:rFonts w:eastAsia="Times New Roman" w:cs="Times New Roman"/>
          <w:szCs w:val="24"/>
          <w:lang w:val="en-US" w:eastAsia="en-GB"/>
        </w:rPr>
        <w:t>considerable</w:t>
      </w:r>
      <w:r w:rsidR="00154F2C" w:rsidRPr="00154F2C">
        <w:rPr>
          <w:rFonts w:eastAsia="Times New Roman" w:cs="Times New Roman"/>
          <w:spacing w:val="24"/>
          <w:szCs w:val="24"/>
          <w:lang w:val="en-US" w:eastAsia="en-GB"/>
        </w:rPr>
        <w:t xml:space="preserve"> </w:t>
      </w:r>
      <w:r w:rsidR="00154F2C" w:rsidRPr="00154F2C">
        <w:rPr>
          <w:rFonts w:eastAsia="Times New Roman" w:cs="Times New Roman"/>
          <w:szCs w:val="24"/>
          <w:lang w:val="en-US" w:eastAsia="en-GB"/>
        </w:rPr>
        <w:t>distance</w:t>
      </w:r>
      <w:r w:rsidR="00154F2C" w:rsidRPr="00154F2C">
        <w:rPr>
          <w:rFonts w:eastAsia="Times New Roman" w:cs="Times New Roman"/>
          <w:spacing w:val="25"/>
          <w:szCs w:val="24"/>
          <w:lang w:val="en-US" w:eastAsia="en-GB"/>
        </w:rPr>
        <w:t xml:space="preserve"> </w:t>
      </w:r>
      <w:r w:rsidR="00154F2C" w:rsidRPr="00154F2C">
        <w:rPr>
          <w:rFonts w:eastAsia="Times New Roman" w:cs="Times New Roman"/>
          <w:szCs w:val="24"/>
          <w:lang w:val="en-US" w:eastAsia="en-GB"/>
        </w:rPr>
        <w:t>away.</w:t>
      </w:r>
      <w:r w:rsidR="00154F2C" w:rsidRPr="00154F2C">
        <w:rPr>
          <w:rFonts w:eastAsia="Times New Roman" w:cs="Times New Roman"/>
          <w:spacing w:val="51"/>
          <w:szCs w:val="24"/>
          <w:lang w:val="en-US" w:eastAsia="en-GB"/>
        </w:rPr>
        <w:t xml:space="preserve"> </w:t>
      </w:r>
      <w:r w:rsidRPr="00501D32">
        <w:rPr>
          <w:rFonts w:eastAsia="Times New Roman" w:cs="Times New Roman"/>
          <w:spacing w:val="51"/>
          <w:szCs w:val="24"/>
          <w:lang w:val="en-US" w:eastAsia="en-GB"/>
        </w:rPr>
        <w:t>The dista</w:t>
      </w:r>
      <w:r w:rsidR="00154F2C" w:rsidRPr="00154F2C">
        <w:rPr>
          <w:rFonts w:eastAsia="Times New Roman" w:cs="Times New Roman"/>
          <w:szCs w:val="24"/>
          <w:lang w:val="en-US" w:eastAsia="en-GB"/>
        </w:rPr>
        <w:t>nce involved mean</w:t>
      </w:r>
      <w:r w:rsidRPr="00501D32">
        <w:rPr>
          <w:rFonts w:eastAsia="Times New Roman" w:cs="Times New Roman"/>
          <w:szCs w:val="24"/>
          <w:lang w:val="en-US" w:eastAsia="en-GB"/>
        </w:rPr>
        <w:t>t</w:t>
      </w:r>
      <w:r w:rsidR="00C51A6C">
        <w:rPr>
          <w:rFonts w:eastAsia="Times New Roman" w:cs="Times New Roman"/>
          <w:szCs w:val="24"/>
          <w:lang w:val="en-US" w:eastAsia="en-GB"/>
        </w:rPr>
        <w:t xml:space="preserve"> that l</w:t>
      </w:r>
      <w:r w:rsidR="00154F2C" w:rsidRPr="00154F2C">
        <w:rPr>
          <w:rFonts w:eastAsia="Times New Roman" w:cs="Times New Roman"/>
          <w:szCs w:val="24"/>
          <w:lang w:val="en-US" w:eastAsia="en-GB"/>
        </w:rPr>
        <w:t xml:space="preserve">ocal </w:t>
      </w:r>
      <w:r w:rsidR="00C51A6C">
        <w:rPr>
          <w:rFonts w:eastAsia="Times New Roman" w:cs="Times New Roman"/>
          <w:szCs w:val="24"/>
          <w:lang w:val="en-US" w:eastAsia="en-GB"/>
        </w:rPr>
        <w:t>a</w:t>
      </w:r>
      <w:r w:rsidR="00154F2C" w:rsidRPr="00154F2C">
        <w:rPr>
          <w:rFonts w:eastAsia="Times New Roman" w:cs="Times New Roman"/>
          <w:szCs w:val="24"/>
          <w:lang w:val="en-US" w:eastAsia="en-GB"/>
        </w:rPr>
        <w:t>uthority key workers</w:t>
      </w:r>
      <w:r w:rsidRPr="00501D32">
        <w:rPr>
          <w:rFonts w:eastAsia="Times New Roman" w:cs="Times New Roman"/>
          <w:szCs w:val="24"/>
          <w:lang w:val="en-US" w:eastAsia="en-GB"/>
        </w:rPr>
        <w:t>, the</w:t>
      </w:r>
      <w:r w:rsidR="00154F2C" w:rsidRPr="00154F2C">
        <w:rPr>
          <w:rFonts w:eastAsia="Times New Roman" w:cs="Times New Roman"/>
          <w:spacing w:val="16"/>
          <w:szCs w:val="24"/>
          <w:lang w:val="en-US" w:eastAsia="en-GB"/>
        </w:rPr>
        <w:t xml:space="preserve"> </w:t>
      </w:r>
      <w:r w:rsidR="00154F2C" w:rsidRPr="00154F2C">
        <w:rPr>
          <w:rFonts w:eastAsia="Times New Roman" w:cs="Times New Roman"/>
          <w:szCs w:val="24"/>
          <w:lang w:val="en-US" w:eastAsia="en-GB"/>
        </w:rPr>
        <w:t>young</w:t>
      </w:r>
      <w:r w:rsidR="00154F2C" w:rsidRPr="00154F2C">
        <w:rPr>
          <w:rFonts w:eastAsia="Times New Roman" w:cs="Times New Roman"/>
          <w:spacing w:val="10"/>
          <w:szCs w:val="24"/>
          <w:lang w:val="en-US" w:eastAsia="en-GB"/>
        </w:rPr>
        <w:t xml:space="preserve"> </w:t>
      </w:r>
      <w:r w:rsidR="00154F2C" w:rsidRPr="00154F2C">
        <w:rPr>
          <w:rFonts w:eastAsia="Times New Roman" w:cs="Times New Roman"/>
          <w:szCs w:val="24"/>
          <w:lang w:val="en-US" w:eastAsia="en-GB"/>
        </w:rPr>
        <w:t>person’s</w:t>
      </w:r>
      <w:r w:rsidR="00154F2C" w:rsidRPr="00154F2C">
        <w:rPr>
          <w:rFonts w:eastAsia="Times New Roman" w:cs="Times New Roman"/>
          <w:spacing w:val="17"/>
          <w:szCs w:val="24"/>
          <w:lang w:val="en-US" w:eastAsia="en-GB"/>
        </w:rPr>
        <w:t xml:space="preserve"> </w:t>
      </w:r>
      <w:r w:rsidR="00C51A6C">
        <w:rPr>
          <w:rFonts w:eastAsia="Times New Roman" w:cs="Times New Roman"/>
          <w:szCs w:val="24"/>
          <w:lang w:val="en-US" w:eastAsia="en-GB"/>
        </w:rPr>
        <w:t>g</w:t>
      </w:r>
      <w:r w:rsidR="00154F2C" w:rsidRPr="00154F2C">
        <w:rPr>
          <w:rFonts w:eastAsia="Times New Roman" w:cs="Times New Roman"/>
          <w:szCs w:val="24"/>
          <w:lang w:val="en-US" w:eastAsia="en-GB"/>
        </w:rPr>
        <w:t>uardian</w:t>
      </w:r>
      <w:r w:rsidR="00154F2C" w:rsidRPr="00154F2C">
        <w:rPr>
          <w:rFonts w:eastAsia="Times New Roman" w:cs="Times New Roman"/>
          <w:spacing w:val="13"/>
          <w:szCs w:val="24"/>
          <w:lang w:val="en-US" w:eastAsia="en-GB"/>
        </w:rPr>
        <w:t xml:space="preserve"> </w:t>
      </w:r>
      <w:r w:rsidR="00154F2C" w:rsidRPr="00154F2C">
        <w:rPr>
          <w:rFonts w:eastAsia="Times New Roman" w:cs="Times New Roman"/>
          <w:szCs w:val="24"/>
          <w:lang w:val="en-US" w:eastAsia="en-GB"/>
        </w:rPr>
        <w:t>and</w:t>
      </w:r>
      <w:r w:rsidR="00154F2C" w:rsidRPr="00154F2C">
        <w:rPr>
          <w:rFonts w:eastAsia="Times New Roman" w:cs="Times New Roman"/>
          <w:spacing w:val="13"/>
          <w:szCs w:val="24"/>
          <w:lang w:val="en-US" w:eastAsia="en-GB"/>
        </w:rPr>
        <w:t xml:space="preserve"> </w:t>
      </w:r>
      <w:r w:rsidR="00154F2C" w:rsidRPr="00154F2C">
        <w:rPr>
          <w:rFonts w:eastAsia="Times New Roman" w:cs="Times New Roman"/>
          <w:szCs w:val="24"/>
          <w:lang w:val="en-US" w:eastAsia="en-GB"/>
        </w:rPr>
        <w:t>solicitor</w:t>
      </w:r>
      <w:r w:rsidRPr="00501D32">
        <w:rPr>
          <w:rFonts w:eastAsia="Times New Roman" w:cs="Times New Roman"/>
          <w:szCs w:val="24"/>
          <w:lang w:val="en-US" w:eastAsia="en-GB"/>
        </w:rPr>
        <w:t xml:space="preserve"> and</w:t>
      </w:r>
      <w:r w:rsidR="00C51A6C">
        <w:rPr>
          <w:rFonts w:eastAsia="Times New Roman" w:cs="Times New Roman"/>
          <w:szCs w:val="24"/>
          <w:lang w:val="en-US" w:eastAsia="en-GB"/>
        </w:rPr>
        <w:t xml:space="preserve"> </w:t>
      </w:r>
      <w:r w:rsidRPr="00501D32">
        <w:rPr>
          <w:rFonts w:eastAsia="Times New Roman" w:cs="Times New Roman"/>
          <w:szCs w:val="24"/>
          <w:lang w:val="en-US" w:eastAsia="en-GB"/>
        </w:rPr>
        <w:t xml:space="preserve">her family </w:t>
      </w:r>
      <w:r w:rsidR="00C51A6C">
        <w:rPr>
          <w:rFonts w:eastAsia="Times New Roman" w:cs="Times New Roman"/>
          <w:szCs w:val="24"/>
          <w:lang w:val="en-US" w:eastAsia="en-GB"/>
        </w:rPr>
        <w:t xml:space="preserve">all </w:t>
      </w:r>
      <w:r w:rsidR="00154F2C" w:rsidRPr="00154F2C">
        <w:rPr>
          <w:rFonts w:eastAsia="Times New Roman" w:cs="Times New Roman"/>
          <w:szCs w:val="24"/>
          <w:lang w:val="en-US" w:eastAsia="en-GB"/>
        </w:rPr>
        <w:t>ha</w:t>
      </w:r>
      <w:r w:rsidRPr="00501D32">
        <w:rPr>
          <w:rFonts w:eastAsia="Times New Roman" w:cs="Times New Roman"/>
          <w:szCs w:val="24"/>
          <w:lang w:val="en-US" w:eastAsia="en-GB"/>
        </w:rPr>
        <w:t>d</w:t>
      </w:r>
      <w:r w:rsidR="00154F2C" w:rsidRPr="00154F2C">
        <w:rPr>
          <w:rFonts w:eastAsia="Times New Roman" w:cs="Times New Roman"/>
          <w:szCs w:val="24"/>
          <w:lang w:val="en-US" w:eastAsia="en-GB"/>
        </w:rPr>
        <w:t xml:space="preserve"> to make </w:t>
      </w:r>
      <w:r w:rsidRPr="00501D32">
        <w:rPr>
          <w:rFonts w:eastAsia="Times New Roman" w:cs="Times New Roman"/>
          <w:szCs w:val="24"/>
          <w:lang w:val="en-US" w:eastAsia="en-GB"/>
        </w:rPr>
        <w:t>long</w:t>
      </w:r>
      <w:r w:rsidR="00154F2C" w:rsidRPr="00154F2C">
        <w:rPr>
          <w:rFonts w:eastAsia="Times New Roman" w:cs="Times New Roman"/>
          <w:spacing w:val="-2"/>
          <w:szCs w:val="24"/>
          <w:lang w:val="en-US" w:eastAsia="en-GB"/>
        </w:rPr>
        <w:t xml:space="preserve"> </w:t>
      </w:r>
      <w:r w:rsidR="00154F2C" w:rsidRPr="00154F2C">
        <w:rPr>
          <w:rFonts w:eastAsia="Times New Roman" w:cs="Times New Roman"/>
          <w:szCs w:val="24"/>
          <w:lang w:val="en-US" w:eastAsia="en-GB"/>
        </w:rPr>
        <w:t>journey</w:t>
      </w:r>
      <w:r w:rsidR="00C51A6C">
        <w:rPr>
          <w:rFonts w:eastAsia="Times New Roman" w:cs="Times New Roman"/>
          <w:szCs w:val="24"/>
          <w:lang w:val="en-US" w:eastAsia="en-GB"/>
        </w:rPr>
        <w:t>s</w:t>
      </w:r>
      <w:r w:rsidR="00154F2C" w:rsidRPr="00154F2C">
        <w:rPr>
          <w:rFonts w:eastAsia="Times New Roman" w:cs="Times New Roman"/>
          <w:szCs w:val="24"/>
          <w:lang w:val="en-US" w:eastAsia="en-GB"/>
        </w:rPr>
        <w:t>.</w:t>
      </w:r>
    </w:p>
    <w:p w:rsidR="00291F2F" w:rsidRDefault="00154F2C" w:rsidP="00C51A6C">
      <w:pPr>
        <w:spacing w:before="100" w:beforeAutospacing="1" w:after="100" w:afterAutospacing="1" w:line="240" w:lineRule="auto"/>
        <w:rPr>
          <w:rFonts w:eastAsia="Times New Roman" w:cs="Times New Roman"/>
          <w:szCs w:val="24"/>
          <w:lang w:eastAsia="en-GB"/>
        </w:rPr>
      </w:pPr>
      <w:r w:rsidRPr="00501D32">
        <w:rPr>
          <w:rFonts w:eastAsia="Times New Roman" w:cs="Times New Roman"/>
          <w:szCs w:val="24"/>
          <w:lang w:eastAsia="en-GB"/>
        </w:rPr>
        <w:t>The judge concluded:</w:t>
      </w:r>
    </w:p>
    <w:p w:rsidR="00154F2C" w:rsidRPr="00291F2F" w:rsidRDefault="00154F2C" w:rsidP="00291F2F">
      <w:pPr>
        <w:spacing w:before="100" w:beforeAutospacing="1" w:after="100" w:afterAutospacing="1" w:line="240" w:lineRule="auto"/>
        <w:ind w:left="720"/>
        <w:rPr>
          <w:rFonts w:eastAsia="Times New Roman" w:cs="Times New Roman"/>
          <w:i/>
          <w:szCs w:val="24"/>
          <w:lang w:eastAsia="en-GB"/>
        </w:rPr>
      </w:pPr>
      <w:r w:rsidRPr="00291F2F">
        <w:rPr>
          <w:rFonts w:eastAsia="Times New Roman" w:cs="Times New Roman"/>
          <w:i/>
          <w:szCs w:val="24"/>
          <w:lang w:val="en-US" w:eastAsia="en-GB"/>
        </w:rPr>
        <w:t xml:space="preserve">‘This part of </w:t>
      </w:r>
      <w:r w:rsidRPr="00291F2F">
        <w:rPr>
          <w:rFonts w:eastAsia="Times New Roman" w:cs="Times New Roman"/>
          <w:i/>
          <w:spacing w:val="2"/>
          <w:szCs w:val="24"/>
          <w:lang w:val="en-US" w:eastAsia="en-GB"/>
        </w:rPr>
        <w:t xml:space="preserve">my </w:t>
      </w:r>
      <w:r w:rsidRPr="00291F2F">
        <w:rPr>
          <w:rFonts w:eastAsia="Times New Roman" w:cs="Times New Roman"/>
          <w:i/>
          <w:szCs w:val="24"/>
          <w:lang w:val="en-US" w:eastAsia="en-GB"/>
        </w:rPr>
        <w:t>judgment is being published to draw attention to the very</w:t>
      </w:r>
      <w:r w:rsidRPr="00291F2F">
        <w:rPr>
          <w:rFonts w:eastAsia="Times New Roman" w:cs="Times New Roman"/>
          <w:i/>
          <w:spacing w:val="54"/>
          <w:szCs w:val="24"/>
          <w:lang w:val="en-US" w:eastAsia="en-GB"/>
        </w:rPr>
        <w:t xml:space="preserve"> </w:t>
      </w:r>
      <w:r w:rsidRPr="00291F2F">
        <w:rPr>
          <w:rFonts w:eastAsia="Times New Roman" w:cs="Times New Roman"/>
          <w:i/>
          <w:szCs w:val="24"/>
          <w:lang w:val="en-US" w:eastAsia="en-GB"/>
        </w:rPr>
        <w:t>significant problems</w:t>
      </w:r>
      <w:r w:rsidRPr="00291F2F">
        <w:rPr>
          <w:rFonts w:eastAsia="Times New Roman" w:cs="Times New Roman"/>
          <w:i/>
          <w:spacing w:val="51"/>
          <w:szCs w:val="24"/>
          <w:lang w:val="en-US" w:eastAsia="en-GB"/>
        </w:rPr>
        <w:t xml:space="preserve"> </w:t>
      </w:r>
      <w:r w:rsidRPr="00291F2F">
        <w:rPr>
          <w:rFonts w:eastAsia="Times New Roman" w:cs="Times New Roman"/>
          <w:i/>
          <w:szCs w:val="24"/>
          <w:lang w:val="en-US" w:eastAsia="en-GB"/>
        </w:rPr>
        <w:t>which</w:t>
      </w:r>
      <w:r w:rsidRPr="00291F2F">
        <w:rPr>
          <w:rFonts w:eastAsia="Times New Roman" w:cs="Times New Roman"/>
          <w:i/>
          <w:spacing w:val="51"/>
          <w:szCs w:val="24"/>
          <w:lang w:val="en-US" w:eastAsia="en-GB"/>
        </w:rPr>
        <w:t xml:space="preserve"> </w:t>
      </w:r>
      <w:r w:rsidRPr="00291F2F">
        <w:rPr>
          <w:rFonts w:eastAsia="Times New Roman" w:cs="Times New Roman"/>
          <w:i/>
          <w:szCs w:val="24"/>
          <w:lang w:val="en-US" w:eastAsia="en-GB"/>
        </w:rPr>
        <w:t>have</w:t>
      </w:r>
      <w:r w:rsidRPr="00291F2F">
        <w:rPr>
          <w:rFonts w:eastAsia="Times New Roman" w:cs="Times New Roman"/>
          <w:i/>
          <w:spacing w:val="50"/>
          <w:szCs w:val="24"/>
          <w:lang w:val="en-US" w:eastAsia="en-GB"/>
        </w:rPr>
        <w:t xml:space="preserve"> </w:t>
      </w:r>
      <w:r w:rsidRPr="00291F2F">
        <w:rPr>
          <w:rFonts w:eastAsia="Times New Roman" w:cs="Times New Roman"/>
          <w:i/>
          <w:szCs w:val="24"/>
          <w:lang w:val="en-US" w:eastAsia="en-GB"/>
        </w:rPr>
        <w:t>arisen,</w:t>
      </w:r>
      <w:r w:rsidRPr="00291F2F">
        <w:rPr>
          <w:rFonts w:eastAsia="Times New Roman" w:cs="Times New Roman"/>
          <w:i/>
          <w:spacing w:val="53"/>
          <w:szCs w:val="24"/>
          <w:lang w:val="en-US" w:eastAsia="en-GB"/>
        </w:rPr>
        <w:t xml:space="preserve"> </w:t>
      </w:r>
      <w:r w:rsidR="00C51A6C" w:rsidRPr="00291F2F">
        <w:rPr>
          <w:rFonts w:eastAsia="Times New Roman" w:cs="Times New Roman"/>
          <w:i/>
          <w:spacing w:val="53"/>
          <w:szCs w:val="24"/>
          <w:lang w:val="en-US" w:eastAsia="en-GB"/>
        </w:rPr>
        <w:t>(</w:t>
      </w:r>
      <w:r w:rsidRPr="00291F2F">
        <w:rPr>
          <w:rFonts w:eastAsia="Times New Roman" w:cs="Times New Roman"/>
          <w:i/>
          <w:szCs w:val="24"/>
          <w:lang w:val="en-US" w:eastAsia="en-GB"/>
        </w:rPr>
        <w:t>in</w:t>
      </w:r>
      <w:r w:rsidRPr="00291F2F">
        <w:rPr>
          <w:rFonts w:eastAsia="Times New Roman" w:cs="Times New Roman"/>
          <w:i/>
          <w:spacing w:val="52"/>
          <w:szCs w:val="24"/>
          <w:lang w:val="en-US" w:eastAsia="en-GB"/>
        </w:rPr>
        <w:t xml:space="preserve"> </w:t>
      </w:r>
      <w:r w:rsidRPr="00291F2F">
        <w:rPr>
          <w:rFonts w:eastAsia="Times New Roman" w:cs="Times New Roman"/>
          <w:i/>
          <w:szCs w:val="24"/>
          <w:lang w:val="en-US" w:eastAsia="en-GB"/>
        </w:rPr>
        <w:t>this</w:t>
      </w:r>
      <w:r w:rsidRPr="00291F2F">
        <w:rPr>
          <w:rFonts w:eastAsia="Times New Roman" w:cs="Times New Roman"/>
          <w:i/>
          <w:spacing w:val="49"/>
          <w:szCs w:val="24"/>
          <w:lang w:val="en-US" w:eastAsia="en-GB"/>
        </w:rPr>
        <w:t xml:space="preserve"> </w:t>
      </w:r>
      <w:r w:rsidRPr="00291F2F">
        <w:rPr>
          <w:rFonts w:eastAsia="Times New Roman" w:cs="Times New Roman"/>
          <w:i/>
          <w:szCs w:val="24"/>
          <w:lang w:val="en-US" w:eastAsia="en-GB"/>
        </w:rPr>
        <w:t>area</w:t>
      </w:r>
      <w:r w:rsidRPr="00291F2F">
        <w:rPr>
          <w:rFonts w:eastAsia="Times New Roman" w:cs="Times New Roman"/>
          <w:i/>
          <w:spacing w:val="50"/>
          <w:szCs w:val="24"/>
          <w:lang w:val="en-US" w:eastAsia="en-GB"/>
        </w:rPr>
        <w:t xml:space="preserve"> </w:t>
      </w:r>
      <w:r w:rsidRPr="00291F2F">
        <w:rPr>
          <w:rFonts w:eastAsia="Times New Roman" w:cs="Times New Roman"/>
          <w:i/>
          <w:szCs w:val="24"/>
          <w:lang w:val="en-US" w:eastAsia="en-GB"/>
        </w:rPr>
        <w:t>at</w:t>
      </w:r>
      <w:r w:rsidRPr="00291F2F">
        <w:rPr>
          <w:rFonts w:eastAsia="Times New Roman" w:cs="Times New Roman"/>
          <w:i/>
          <w:spacing w:val="52"/>
          <w:szCs w:val="24"/>
          <w:lang w:val="en-US" w:eastAsia="en-GB"/>
        </w:rPr>
        <w:t xml:space="preserve"> </w:t>
      </w:r>
      <w:r w:rsidRPr="00291F2F">
        <w:rPr>
          <w:rFonts w:eastAsia="Times New Roman" w:cs="Times New Roman"/>
          <w:i/>
          <w:szCs w:val="24"/>
          <w:lang w:val="en-US" w:eastAsia="en-GB"/>
        </w:rPr>
        <w:t>least),</w:t>
      </w:r>
      <w:r w:rsidRPr="00291F2F">
        <w:rPr>
          <w:rFonts w:eastAsia="Times New Roman" w:cs="Times New Roman"/>
          <w:i/>
          <w:spacing w:val="51"/>
          <w:szCs w:val="24"/>
          <w:lang w:val="en-US" w:eastAsia="en-GB"/>
        </w:rPr>
        <w:t xml:space="preserve"> </w:t>
      </w:r>
      <w:r w:rsidRPr="00291F2F">
        <w:rPr>
          <w:rFonts w:eastAsia="Times New Roman" w:cs="Times New Roman"/>
          <w:i/>
          <w:szCs w:val="24"/>
          <w:lang w:val="en-US" w:eastAsia="en-GB"/>
        </w:rPr>
        <w:t>with</w:t>
      </w:r>
      <w:r w:rsidRPr="00291F2F">
        <w:rPr>
          <w:rFonts w:eastAsia="Times New Roman" w:cs="Times New Roman"/>
          <w:i/>
          <w:spacing w:val="52"/>
          <w:szCs w:val="24"/>
          <w:lang w:val="en-US" w:eastAsia="en-GB"/>
        </w:rPr>
        <w:t xml:space="preserve"> </w:t>
      </w:r>
      <w:r w:rsidRPr="00291F2F">
        <w:rPr>
          <w:rFonts w:eastAsia="Times New Roman" w:cs="Times New Roman"/>
          <w:i/>
          <w:szCs w:val="24"/>
          <w:lang w:val="en-US" w:eastAsia="en-GB"/>
        </w:rPr>
        <w:t>the</w:t>
      </w:r>
      <w:r w:rsidRPr="00291F2F">
        <w:rPr>
          <w:rFonts w:eastAsia="Times New Roman" w:cs="Times New Roman"/>
          <w:i/>
          <w:spacing w:val="51"/>
          <w:szCs w:val="24"/>
          <w:lang w:val="en-US" w:eastAsia="en-GB"/>
        </w:rPr>
        <w:t xml:space="preserve"> </w:t>
      </w:r>
      <w:r w:rsidRPr="00291F2F">
        <w:rPr>
          <w:rFonts w:eastAsia="Times New Roman" w:cs="Times New Roman"/>
          <w:i/>
          <w:szCs w:val="24"/>
          <w:lang w:val="en-US" w:eastAsia="en-GB"/>
        </w:rPr>
        <w:t>provision</w:t>
      </w:r>
      <w:r w:rsidRPr="00291F2F">
        <w:rPr>
          <w:rFonts w:eastAsia="Times New Roman" w:cs="Times New Roman"/>
          <w:i/>
          <w:spacing w:val="49"/>
          <w:szCs w:val="24"/>
          <w:lang w:val="en-US" w:eastAsia="en-GB"/>
        </w:rPr>
        <w:t xml:space="preserve"> </w:t>
      </w:r>
      <w:r w:rsidRPr="00291F2F">
        <w:rPr>
          <w:rFonts w:eastAsia="Times New Roman" w:cs="Times New Roman"/>
          <w:i/>
          <w:szCs w:val="24"/>
          <w:lang w:val="en-US" w:eastAsia="en-GB"/>
        </w:rPr>
        <w:t>of</w:t>
      </w:r>
      <w:r w:rsidRPr="00291F2F">
        <w:rPr>
          <w:rFonts w:eastAsia="Times New Roman" w:cs="Times New Roman"/>
          <w:i/>
          <w:spacing w:val="50"/>
          <w:szCs w:val="24"/>
          <w:lang w:val="en-US" w:eastAsia="en-GB"/>
        </w:rPr>
        <w:t xml:space="preserve"> </w:t>
      </w:r>
      <w:r w:rsidRPr="00291F2F">
        <w:rPr>
          <w:rFonts w:eastAsia="Times New Roman" w:cs="Times New Roman"/>
          <w:i/>
          <w:szCs w:val="24"/>
          <w:lang w:val="en-US" w:eastAsia="en-GB"/>
        </w:rPr>
        <w:t>secure accommodation facilities. These orders are not, by any means, made routinely,</w:t>
      </w:r>
      <w:r w:rsidRPr="00291F2F">
        <w:rPr>
          <w:rFonts w:eastAsia="Times New Roman" w:cs="Times New Roman"/>
          <w:i/>
          <w:spacing w:val="40"/>
          <w:szCs w:val="24"/>
          <w:lang w:val="en-US" w:eastAsia="en-GB"/>
        </w:rPr>
        <w:t xml:space="preserve"> </w:t>
      </w:r>
      <w:r w:rsidRPr="00291F2F">
        <w:rPr>
          <w:rFonts w:eastAsia="Times New Roman" w:cs="Times New Roman"/>
          <w:i/>
          <w:szCs w:val="24"/>
          <w:lang w:val="en-US" w:eastAsia="en-GB"/>
        </w:rPr>
        <w:t>but they do arise from time to time. The circumstances of the current application are</w:t>
      </w:r>
      <w:r w:rsidRPr="00291F2F">
        <w:rPr>
          <w:rFonts w:eastAsia="Times New Roman" w:cs="Times New Roman"/>
          <w:i/>
          <w:spacing w:val="3"/>
          <w:szCs w:val="24"/>
          <w:lang w:val="en-US" w:eastAsia="en-GB"/>
        </w:rPr>
        <w:t xml:space="preserve"> </w:t>
      </w:r>
      <w:r w:rsidRPr="00291F2F">
        <w:rPr>
          <w:rFonts w:eastAsia="Times New Roman" w:cs="Times New Roman"/>
          <w:i/>
          <w:szCs w:val="24"/>
          <w:lang w:val="en-US" w:eastAsia="en-GB"/>
        </w:rPr>
        <w:t>by no</w:t>
      </w:r>
      <w:r w:rsidRPr="00291F2F">
        <w:rPr>
          <w:rFonts w:eastAsia="Times New Roman" w:cs="Times New Roman"/>
          <w:i/>
          <w:spacing w:val="20"/>
          <w:szCs w:val="24"/>
          <w:lang w:val="en-US" w:eastAsia="en-GB"/>
        </w:rPr>
        <w:t xml:space="preserve"> </w:t>
      </w:r>
      <w:r w:rsidRPr="00291F2F">
        <w:rPr>
          <w:rFonts w:eastAsia="Times New Roman" w:cs="Times New Roman"/>
          <w:i/>
          <w:szCs w:val="24"/>
          <w:lang w:val="en-US" w:eastAsia="en-GB"/>
        </w:rPr>
        <w:t>means</w:t>
      </w:r>
      <w:r w:rsidRPr="00291F2F">
        <w:rPr>
          <w:rFonts w:eastAsia="Times New Roman" w:cs="Times New Roman"/>
          <w:i/>
          <w:spacing w:val="20"/>
          <w:szCs w:val="24"/>
          <w:lang w:val="en-US" w:eastAsia="en-GB"/>
        </w:rPr>
        <w:t xml:space="preserve"> </w:t>
      </w:r>
      <w:r w:rsidRPr="00291F2F">
        <w:rPr>
          <w:rFonts w:eastAsia="Times New Roman" w:cs="Times New Roman"/>
          <w:i/>
          <w:szCs w:val="24"/>
          <w:lang w:val="en-US" w:eastAsia="en-GB"/>
        </w:rPr>
        <w:t>unusual</w:t>
      </w:r>
      <w:r w:rsidRPr="00291F2F">
        <w:rPr>
          <w:rFonts w:eastAsia="Times New Roman" w:cs="Times New Roman"/>
          <w:i/>
          <w:spacing w:val="23"/>
          <w:szCs w:val="24"/>
          <w:lang w:val="en-US" w:eastAsia="en-GB"/>
        </w:rPr>
        <w:t xml:space="preserve"> </w:t>
      </w:r>
      <w:r w:rsidRPr="00291F2F">
        <w:rPr>
          <w:rFonts w:eastAsia="Times New Roman" w:cs="Times New Roman"/>
          <w:i/>
          <w:szCs w:val="24"/>
          <w:lang w:val="en-US" w:eastAsia="en-GB"/>
        </w:rPr>
        <w:t>and,</w:t>
      </w:r>
      <w:r w:rsidRPr="00291F2F">
        <w:rPr>
          <w:rFonts w:eastAsia="Times New Roman" w:cs="Times New Roman"/>
          <w:i/>
          <w:spacing w:val="20"/>
          <w:szCs w:val="24"/>
          <w:lang w:val="en-US" w:eastAsia="en-GB"/>
        </w:rPr>
        <w:t xml:space="preserve"> </w:t>
      </w:r>
      <w:r w:rsidRPr="00291F2F">
        <w:rPr>
          <w:rFonts w:eastAsia="Times New Roman" w:cs="Times New Roman"/>
          <w:i/>
          <w:szCs w:val="24"/>
          <w:lang w:val="en-US" w:eastAsia="en-GB"/>
        </w:rPr>
        <w:t>regrettably,</w:t>
      </w:r>
      <w:r w:rsidRPr="00291F2F">
        <w:rPr>
          <w:rFonts w:eastAsia="Times New Roman" w:cs="Times New Roman"/>
          <w:i/>
          <w:spacing w:val="20"/>
          <w:szCs w:val="24"/>
          <w:lang w:val="en-US" w:eastAsia="en-GB"/>
        </w:rPr>
        <w:t xml:space="preserve"> </w:t>
      </w:r>
      <w:r w:rsidRPr="00291F2F">
        <w:rPr>
          <w:rFonts w:eastAsia="Times New Roman" w:cs="Times New Roman"/>
          <w:i/>
          <w:szCs w:val="24"/>
          <w:lang w:val="en-US" w:eastAsia="en-GB"/>
        </w:rPr>
        <w:t>the</w:t>
      </w:r>
      <w:r w:rsidRPr="00291F2F">
        <w:rPr>
          <w:rFonts w:eastAsia="Times New Roman" w:cs="Times New Roman"/>
          <w:i/>
          <w:spacing w:val="19"/>
          <w:szCs w:val="24"/>
          <w:lang w:val="en-US" w:eastAsia="en-GB"/>
        </w:rPr>
        <w:t xml:space="preserve"> </w:t>
      </w:r>
      <w:r w:rsidRPr="00291F2F">
        <w:rPr>
          <w:rFonts w:eastAsia="Times New Roman" w:cs="Times New Roman"/>
          <w:i/>
          <w:szCs w:val="24"/>
          <w:lang w:val="en-US" w:eastAsia="en-GB"/>
        </w:rPr>
        <w:t>shortage</w:t>
      </w:r>
      <w:r w:rsidRPr="00291F2F">
        <w:rPr>
          <w:rFonts w:eastAsia="Times New Roman" w:cs="Times New Roman"/>
          <w:i/>
          <w:spacing w:val="21"/>
          <w:szCs w:val="24"/>
          <w:lang w:val="en-US" w:eastAsia="en-GB"/>
        </w:rPr>
        <w:t xml:space="preserve"> </w:t>
      </w:r>
      <w:r w:rsidRPr="00291F2F">
        <w:rPr>
          <w:rFonts w:eastAsia="Times New Roman" w:cs="Times New Roman"/>
          <w:i/>
          <w:szCs w:val="24"/>
          <w:lang w:val="en-US" w:eastAsia="en-GB"/>
        </w:rPr>
        <w:t>of</w:t>
      </w:r>
      <w:r w:rsidRPr="00291F2F">
        <w:rPr>
          <w:rFonts w:eastAsia="Times New Roman" w:cs="Times New Roman"/>
          <w:i/>
          <w:spacing w:val="19"/>
          <w:szCs w:val="24"/>
          <w:lang w:val="en-US" w:eastAsia="en-GB"/>
        </w:rPr>
        <w:t xml:space="preserve"> </w:t>
      </w:r>
      <w:r w:rsidRPr="00291F2F">
        <w:rPr>
          <w:rFonts w:eastAsia="Times New Roman" w:cs="Times New Roman"/>
          <w:i/>
          <w:szCs w:val="24"/>
          <w:lang w:val="en-US" w:eastAsia="en-GB"/>
        </w:rPr>
        <w:t>suitable</w:t>
      </w:r>
      <w:r w:rsidRPr="00291F2F">
        <w:rPr>
          <w:rFonts w:eastAsia="Times New Roman" w:cs="Times New Roman"/>
          <w:i/>
          <w:spacing w:val="19"/>
          <w:szCs w:val="24"/>
          <w:lang w:val="en-US" w:eastAsia="en-GB"/>
        </w:rPr>
        <w:t xml:space="preserve"> </w:t>
      </w:r>
      <w:r w:rsidRPr="00291F2F">
        <w:rPr>
          <w:rFonts w:eastAsia="Times New Roman" w:cs="Times New Roman"/>
          <w:i/>
          <w:szCs w:val="24"/>
          <w:lang w:val="en-US" w:eastAsia="en-GB"/>
        </w:rPr>
        <w:t>places</w:t>
      </w:r>
      <w:r w:rsidRPr="00291F2F">
        <w:rPr>
          <w:rFonts w:eastAsia="Times New Roman" w:cs="Times New Roman"/>
          <w:i/>
          <w:spacing w:val="20"/>
          <w:szCs w:val="24"/>
          <w:lang w:val="en-US" w:eastAsia="en-GB"/>
        </w:rPr>
        <w:t xml:space="preserve"> </w:t>
      </w:r>
      <w:r w:rsidRPr="00291F2F">
        <w:rPr>
          <w:rFonts w:eastAsia="Times New Roman" w:cs="Times New Roman"/>
          <w:i/>
          <w:szCs w:val="24"/>
          <w:lang w:val="en-US" w:eastAsia="en-GB"/>
        </w:rPr>
        <w:t>has</w:t>
      </w:r>
      <w:r w:rsidRPr="00291F2F">
        <w:rPr>
          <w:rFonts w:eastAsia="Times New Roman" w:cs="Times New Roman"/>
          <w:i/>
          <w:spacing w:val="20"/>
          <w:szCs w:val="24"/>
          <w:lang w:val="en-US" w:eastAsia="en-GB"/>
        </w:rPr>
        <w:t xml:space="preserve"> </w:t>
      </w:r>
      <w:r w:rsidRPr="00291F2F">
        <w:rPr>
          <w:rFonts w:eastAsia="Times New Roman" w:cs="Times New Roman"/>
          <w:i/>
          <w:szCs w:val="24"/>
          <w:lang w:val="en-US" w:eastAsia="en-GB"/>
        </w:rPr>
        <w:t>now</w:t>
      </w:r>
      <w:r w:rsidRPr="00291F2F">
        <w:rPr>
          <w:rFonts w:eastAsia="Times New Roman" w:cs="Times New Roman"/>
          <w:i/>
          <w:spacing w:val="19"/>
          <w:szCs w:val="24"/>
          <w:lang w:val="en-US" w:eastAsia="en-GB"/>
        </w:rPr>
        <w:t xml:space="preserve"> </w:t>
      </w:r>
      <w:r w:rsidRPr="00291F2F">
        <w:rPr>
          <w:rFonts w:eastAsia="Times New Roman" w:cs="Times New Roman"/>
          <w:i/>
          <w:szCs w:val="24"/>
          <w:lang w:val="en-US" w:eastAsia="en-GB"/>
        </w:rPr>
        <w:t>become chronic.’</w:t>
      </w:r>
    </w:p>
    <w:p w:rsidR="00501D32" w:rsidRDefault="00501D32" w:rsidP="00C51A6C">
      <w:pPr>
        <w:spacing w:before="100" w:beforeAutospacing="1" w:after="100" w:afterAutospacing="1" w:line="240" w:lineRule="auto"/>
        <w:rPr>
          <w:rFonts w:eastAsia="Times New Roman" w:cs="Times New Roman"/>
          <w:szCs w:val="24"/>
          <w:lang w:val="en-US" w:eastAsia="en-GB"/>
        </w:rPr>
      </w:pPr>
      <w:r w:rsidRPr="00501D32">
        <w:rPr>
          <w:rFonts w:eastAsia="Times New Roman" w:cs="Times New Roman"/>
          <w:szCs w:val="24"/>
          <w:lang w:val="en-US" w:eastAsia="en-GB"/>
        </w:rPr>
        <w:t>He sa</w:t>
      </w:r>
      <w:r w:rsidR="00C51A6C">
        <w:rPr>
          <w:rFonts w:eastAsia="Times New Roman" w:cs="Times New Roman"/>
          <w:szCs w:val="24"/>
          <w:lang w:val="en-US" w:eastAsia="en-GB"/>
        </w:rPr>
        <w:t>i</w:t>
      </w:r>
      <w:r w:rsidRPr="00501D32">
        <w:rPr>
          <w:rFonts w:eastAsia="Times New Roman" w:cs="Times New Roman"/>
          <w:szCs w:val="24"/>
          <w:lang w:val="en-US" w:eastAsia="en-GB"/>
        </w:rPr>
        <w:t>d that</w:t>
      </w:r>
      <w:r w:rsidR="00C51A6C">
        <w:rPr>
          <w:rFonts w:eastAsia="Times New Roman" w:cs="Times New Roman"/>
          <w:szCs w:val="24"/>
          <w:lang w:val="en-US" w:eastAsia="en-GB"/>
        </w:rPr>
        <w:t xml:space="preserve"> he hoped</w:t>
      </w:r>
      <w:r w:rsidRPr="00154F2C">
        <w:rPr>
          <w:rFonts w:eastAsia="Times New Roman" w:cs="Times New Roman"/>
          <w:szCs w:val="24"/>
          <w:lang w:val="en-US" w:eastAsia="en-GB"/>
        </w:rPr>
        <w:t xml:space="preserve"> the publication of</w:t>
      </w:r>
      <w:r w:rsidRPr="00154F2C">
        <w:rPr>
          <w:rFonts w:eastAsia="Times New Roman" w:cs="Times New Roman"/>
          <w:spacing w:val="-6"/>
          <w:szCs w:val="24"/>
          <w:lang w:val="en-US" w:eastAsia="en-GB"/>
        </w:rPr>
        <w:t xml:space="preserve"> </w:t>
      </w:r>
      <w:r w:rsidRPr="00154F2C">
        <w:rPr>
          <w:rFonts w:eastAsia="Times New Roman" w:cs="Times New Roman"/>
          <w:szCs w:val="24"/>
          <w:lang w:val="en-US" w:eastAsia="en-GB"/>
        </w:rPr>
        <w:t>th</w:t>
      </w:r>
      <w:r w:rsidR="00C51A6C">
        <w:rPr>
          <w:rFonts w:eastAsia="Times New Roman" w:cs="Times New Roman"/>
          <w:szCs w:val="24"/>
          <w:lang w:val="en-US" w:eastAsia="en-GB"/>
        </w:rPr>
        <w:t xml:space="preserve">e </w:t>
      </w:r>
      <w:r w:rsidRPr="00154F2C">
        <w:rPr>
          <w:rFonts w:eastAsia="Times New Roman" w:cs="Times New Roman"/>
          <w:szCs w:val="24"/>
          <w:lang w:val="en-US" w:eastAsia="en-GB"/>
        </w:rPr>
        <w:t>judgment</w:t>
      </w:r>
      <w:r w:rsidR="00C51A6C">
        <w:rPr>
          <w:rFonts w:eastAsia="Times New Roman" w:cs="Times New Roman"/>
          <w:szCs w:val="24"/>
          <w:lang w:val="en-US" w:eastAsia="en-GB"/>
        </w:rPr>
        <w:t xml:space="preserve"> would mean that</w:t>
      </w:r>
      <w:r w:rsidRPr="00154F2C">
        <w:rPr>
          <w:rFonts w:eastAsia="Times New Roman" w:cs="Times New Roman"/>
          <w:szCs w:val="24"/>
          <w:lang w:val="en-US" w:eastAsia="en-GB"/>
        </w:rPr>
        <w:t xml:space="preserve"> these difficulties w</w:t>
      </w:r>
      <w:r w:rsidR="00C51A6C">
        <w:rPr>
          <w:rFonts w:eastAsia="Times New Roman" w:cs="Times New Roman"/>
          <w:szCs w:val="24"/>
          <w:lang w:val="en-US" w:eastAsia="en-GB"/>
        </w:rPr>
        <w:t>ould</w:t>
      </w:r>
      <w:r w:rsidRPr="00154F2C">
        <w:rPr>
          <w:rFonts w:eastAsia="Times New Roman" w:cs="Times New Roman"/>
          <w:szCs w:val="24"/>
          <w:lang w:val="en-US" w:eastAsia="en-GB"/>
        </w:rPr>
        <w:t xml:space="preserve"> become known to </w:t>
      </w:r>
      <w:r w:rsidR="00C51A6C">
        <w:rPr>
          <w:rFonts w:eastAsia="Times New Roman" w:cs="Times New Roman"/>
          <w:szCs w:val="24"/>
          <w:lang w:val="en-US" w:eastAsia="en-GB"/>
        </w:rPr>
        <w:t xml:space="preserve">Welsh </w:t>
      </w:r>
      <w:r w:rsidRPr="00154F2C">
        <w:rPr>
          <w:rFonts w:eastAsia="Times New Roman" w:cs="Times New Roman"/>
          <w:szCs w:val="24"/>
          <w:lang w:val="en-US" w:eastAsia="en-GB"/>
        </w:rPr>
        <w:t>Government</w:t>
      </w:r>
      <w:r w:rsidRPr="00154F2C">
        <w:rPr>
          <w:rFonts w:eastAsia="Times New Roman" w:cs="Times New Roman"/>
          <w:spacing w:val="38"/>
          <w:szCs w:val="24"/>
          <w:lang w:val="en-US" w:eastAsia="en-GB"/>
        </w:rPr>
        <w:t xml:space="preserve"> </w:t>
      </w:r>
      <w:r w:rsidRPr="00154F2C">
        <w:rPr>
          <w:rFonts w:eastAsia="Times New Roman" w:cs="Times New Roman"/>
          <w:szCs w:val="24"/>
          <w:lang w:val="en-US" w:eastAsia="en-GB"/>
        </w:rPr>
        <w:t>and</w:t>
      </w:r>
      <w:r w:rsidRPr="00154F2C">
        <w:rPr>
          <w:rFonts w:eastAsia="Times New Roman" w:cs="Times New Roman"/>
          <w:spacing w:val="37"/>
          <w:szCs w:val="24"/>
          <w:lang w:val="en-US" w:eastAsia="en-GB"/>
        </w:rPr>
        <w:t xml:space="preserve"> </w:t>
      </w:r>
      <w:r w:rsidRPr="00154F2C">
        <w:rPr>
          <w:rFonts w:eastAsia="Times New Roman" w:cs="Times New Roman"/>
          <w:szCs w:val="24"/>
          <w:lang w:val="en-US" w:eastAsia="en-GB"/>
        </w:rPr>
        <w:t>the</w:t>
      </w:r>
      <w:r w:rsidRPr="00154F2C">
        <w:rPr>
          <w:rFonts w:eastAsia="Times New Roman" w:cs="Times New Roman"/>
          <w:spacing w:val="36"/>
          <w:szCs w:val="24"/>
          <w:lang w:val="en-US" w:eastAsia="en-GB"/>
        </w:rPr>
        <w:t xml:space="preserve"> </w:t>
      </w:r>
      <w:r w:rsidR="00C51A6C">
        <w:rPr>
          <w:rFonts w:eastAsia="Times New Roman" w:cs="Times New Roman"/>
          <w:spacing w:val="36"/>
          <w:szCs w:val="24"/>
          <w:lang w:val="en-US" w:eastAsia="en-GB"/>
        </w:rPr>
        <w:t>UK</w:t>
      </w:r>
      <w:r w:rsidRPr="00154F2C">
        <w:rPr>
          <w:rFonts w:eastAsia="Times New Roman" w:cs="Times New Roman"/>
          <w:spacing w:val="39"/>
          <w:szCs w:val="24"/>
          <w:lang w:val="en-US" w:eastAsia="en-GB"/>
        </w:rPr>
        <w:t xml:space="preserve"> </w:t>
      </w:r>
      <w:r w:rsidRPr="00154F2C">
        <w:rPr>
          <w:rFonts w:eastAsia="Times New Roman" w:cs="Times New Roman"/>
          <w:szCs w:val="24"/>
          <w:lang w:val="en-US" w:eastAsia="en-GB"/>
        </w:rPr>
        <w:t>Government</w:t>
      </w:r>
      <w:r w:rsidRPr="00154F2C">
        <w:rPr>
          <w:rFonts w:eastAsia="Times New Roman" w:cs="Times New Roman"/>
          <w:spacing w:val="41"/>
          <w:szCs w:val="24"/>
          <w:lang w:val="en-US" w:eastAsia="en-GB"/>
        </w:rPr>
        <w:t xml:space="preserve"> </w:t>
      </w:r>
      <w:r w:rsidRPr="00154F2C">
        <w:rPr>
          <w:rFonts w:eastAsia="Times New Roman" w:cs="Times New Roman"/>
          <w:szCs w:val="24"/>
          <w:lang w:val="en-US" w:eastAsia="en-GB"/>
        </w:rPr>
        <w:t>in London,</w:t>
      </w:r>
      <w:r w:rsidRPr="00154F2C">
        <w:rPr>
          <w:rFonts w:eastAsia="Times New Roman" w:cs="Times New Roman"/>
          <w:spacing w:val="23"/>
          <w:szCs w:val="24"/>
          <w:lang w:val="en-US" w:eastAsia="en-GB"/>
        </w:rPr>
        <w:t xml:space="preserve"> </w:t>
      </w:r>
      <w:r w:rsidR="00C51A6C">
        <w:rPr>
          <w:rFonts w:eastAsia="Times New Roman" w:cs="Times New Roman"/>
          <w:spacing w:val="23"/>
          <w:szCs w:val="24"/>
          <w:lang w:val="en-US" w:eastAsia="en-GB"/>
        </w:rPr>
        <w:t>‘</w:t>
      </w:r>
      <w:r w:rsidRPr="00154F2C">
        <w:rPr>
          <w:rFonts w:eastAsia="Times New Roman" w:cs="Times New Roman"/>
          <w:szCs w:val="24"/>
          <w:lang w:val="en-US" w:eastAsia="en-GB"/>
        </w:rPr>
        <w:t>and</w:t>
      </w:r>
      <w:r w:rsidRPr="00154F2C">
        <w:rPr>
          <w:rFonts w:eastAsia="Times New Roman" w:cs="Times New Roman"/>
          <w:spacing w:val="22"/>
          <w:szCs w:val="24"/>
          <w:lang w:val="en-US" w:eastAsia="en-GB"/>
        </w:rPr>
        <w:t xml:space="preserve"> </w:t>
      </w:r>
      <w:r w:rsidRPr="00154F2C">
        <w:rPr>
          <w:rFonts w:eastAsia="Times New Roman" w:cs="Times New Roman"/>
          <w:szCs w:val="24"/>
          <w:lang w:val="en-US" w:eastAsia="en-GB"/>
        </w:rPr>
        <w:t>the</w:t>
      </w:r>
      <w:r w:rsidRPr="00154F2C">
        <w:rPr>
          <w:rFonts w:eastAsia="Times New Roman" w:cs="Times New Roman"/>
          <w:spacing w:val="22"/>
          <w:szCs w:val="24"/>
          <w:lang w:val="en-US" w:eastAsia="en-GB"/>
        </w:rPr>
        <w:t xml:space="preserve"> </w:t>
      </w:r>
      <w:r w:rsidRPr="00154F2C">
        <w:rPr>
          <w:rFonts w:eastAsia="Times New Roman" w:cs="Times New Roman"/>
          <w:szCs w:val="24"/>
          <w:lang w:val="en-US" w:eastAsia="en-GB"/>
        </w:rPr>
        <w:t>general</w:t>
      </w:r>
      <w:r w:rsidRPr="00154F2C">
        <w:rPr>
          <w:rFonts w:eastAsia="Times New Roman" w:cs="Times New Roman"/>
          <w:spacing w:val="25"/>
          <w:szCs w:val="24"/>
          <w:lang w:val="en-US" w:eastAsia="en-GB"/>
        </w:rPr>
        <w:t xml:space="preserve"> </w:t>
      </w:r>
      <w:r w:rsidRPr="00154F2C">
        <w:rPr>
          <w:rFonts w:eastAsia="Times New Roman" w:cs="Times New Roman"/>
          <w:szCs w:val="24"/>
          <w:lang w:val="en-US" w:eastAsia="en-GB"/>
        </w:rPr>
        <w:t>public</w:t>
      </w:r>
      <w:r w:rsidRPr="00154F2C">
        <w:rPr>
          <w:rFonts w:eastAsia="Times New Roman" w:cs="Times New Roman"/>
          <w:spacing w:val="24"/>
          <w:szCs w:val="24"/>
          <w:lang w:val="en-US" w:eastAsia="en-GB"/>
        </w:rPr>
        <w:t xml:space="preserve"> </w:t>
      </w:r>
      <w:r w:rsidRPr="00154F2C">
        <w:rPr>
          <w:rFonts w:eastAsia="Times New Roman" w:cs="Times New Roman"/>
          <w:szCs w:val="24"/>
          <w:lang w:val="en-US" w:eastAsia="en-GB"/>
        </w:rPr>
        <w:t>who</w:t>
      </w:r>
      <w:r w:rsidRPr="00154F2C">
        <w:rPr>
          <w:rFonts w:eastAsia="Times New Roman" w:cs="Times New Roman"/>
          <w:spacing w:val="22"/>
          <w:szCs w:val="24"/>
          <w:lang w:val="en-US" w:eastAsia="en-GB"/>
        </w:rPr>
        <w:t xml:space="preserve"> </w:t>
      </w:r>
      <w:r w:rsidRPr="00154F2C">
        <w:rPr>
          <w:rFonts w:eastAsia="Times New Roman" w:cs="Times New Roman"/>
          <w:szCs w:val="24"/>
          <w:lang w:val="en-US" w:eastAsia="en-GB"/>
        </w:rPr>
        <w:t>can</w:t>
      </w:r>
      <w:r w:rsidRPr="00154F2C">
        <w:rPr>
          <w:rFonts w:eastAsia="Times New Roman" w:cs="Times New Roman"/>
          <w:spacing w:val="22"/>
          <w:szCs w:val="24"/>
          <w:lang w:val="en-US" w:eastAsia="en-GB"/>
        </w:rPr>
        <w:t xml:space="preserve"> </w:t>
      </w:r>
      <w:r w:rsidRPr="00154F2C">
        <w:rPr>
          <w:rFonts w:eastAsia="Times New Roman" w:cs="Times New Roman"/>
          <w:szCs w:val="24"/>
          <w:lang w:val="en-US" w:eastAsia="en-GB"/>
        </w:rPr>
        <w:t>see</w:t>
      </w:r>
      <w:r w:rsidRPr="00154F2C">
        <w:rPr>
          <w:rFonts w:eastAsia="Times New Roman" w:cs="Times New Roman"/>
          <w:spacing w:val="21"/>
          <w:szCs w:val="24"/>
          <w:lang w:val="en-US" w:eastAsia="en-GB"/>
        </w:rPr>
        <w:t xml:space="preserve"> </w:t>
      </w:r>
      <w:r w:rsidRPr="00154F2C">
        <w:rPr>
          <w:rFonts w:eastAsia="Times New Roman" w:cs="Times New Roman"/>
          <w:szCs w:val="24"/>
          <w:lang w:val="en-US" w:eastAsia="en-GB"/>
        </w:rPr>
        <w:t>what</w:t>
      </w:r>
      <w:r w:rsidRPr="00154F2C">
        <w:rPr>
          <w:rFonts w:eastAsia="Times New Roman" w:cs="Times New Roman"/>
          <w:spacing w:val="23"/>
          <w:szCs w:val="24"/>
          <w:lang w:val="en-US" w:eastAsia="en-GB"/>
        </w:rPr>
        <w:t xml:space="preserve"> </w:t>
      </w:r>
      <w:r w:rsidRPr="00154F2C">
        <w:rPr>
          <w:rFonts w:eastAsia="Times New Roman" w:cs="Times New Roman"/>
          <w:szCs w:val="24"/>
          <w:lang w:val="en-US" w:eastAsia="en-GB"/>
        </w:rPr>
        <w:t>actually</w:t>
      </w:r>
      <w:r w:rsidRPr="00154F2C">
        <w:rPr>
          <w:rFonts w:eastAsia="Times New Roman" w:cs="Times New Roman"/>
          <w:spacing w:val="19"/>
          <w:szCs w:val="24"/>
          <w:lang w:val="en-US" w:eastAsia="en-GB"/>
        </w:rPr>
        <w:t xml:space="preserve"> </w:t>
      </w:r>
      <w:r w:rsidRPr="00154F2C">
        <w:rPr>
          <w:rFonts w:eastAsia="Times New Roman" w:cs="Times New Roman"/>
          <w:szCs w:val="24"/>
          <w:lang w:val="en-US" w:eastAsia="en-GB"/>
        </w:rPr>
        <w:t>is</w:t>
      </w:r>
      <w:r w:rsidRPr="00154F2C">
        <w:rPr>
          <w:rFonts w:eastAsia="Times New Roman" w:cs="Times New Roman"/>
          <w:spacing w:val="23"/>
          <w:szCs w:val="24"/>
          <w:lang w:val="en-US" w:eastAsia="en-GB"/>
        </w:rPr>
        <w:t xml:space="preserve"> </w:t>
      </w:r>
      <w:r w:rsidRPr="00154F2C">
        <w:rPr>
          <w:rFonts w:eastAsia="Times New Roman" w:cs="Times New Roman"/>
          <w:szCs w:val="24"/>
          <w:lang w:val="en-US" w:eastAsia="en-GB"/>
        </w:rPr>
        <w:t>taking</w:t>
      </w:r>
      <w:r w:rsidRPr="00154F2C">
        <w:rPr>
          <w:rFonts w:eastAsia="Times New Roman" w:cs="Times New Roman"/>
          <w:spacing w:val="20"/>
          <w:szCs w:val="24"/>
          <w:lang w:val="en-US" w:eastAsia="en-GB"/>
        </w:rPr>
        <w:t xml:space="preserve"> </w:t>
      </w:r>
      <w:r w:rsidRPr="00154F2C">
        <w:rPr>
          <w:rFonts w:eastAsia="Times New Roman" w:cs="Times New Roman"/>
          <w:szCs w:val="24"/>
          <w:lang w:val="en-US" w:eastAsia="en-GB"/>
        </w:rPr>
        <w:t>place</w:t>
      </w:r>
      <w:r w:rsidRPr="00154F2C">
        <w:rPr>
          <w:rFonts w:eastAsia="Times New Roman" w:cs="Times New Roman"/>
          <w:spacing w:val="21"/>
          <w:szCs w:val="24"/>
          <w:lang w:val="en-US" w:eastAsia="en-GB"/>
        </w:rPr>
        <w:t xml:space="preserve"> </w:t>
      </w:r>
      <w:r w:rsidRPr="00154F2C">
        <w:rPr>
          <w:rFonts w:eastAsia="Times New Roman" w:cs="Times New Roman"/>
          <w:szCs w:val="24"/>
          <w:lang w:val="en-US" w:eastAsia="en-GB"/>
        </w:rPr>
        <w:t>so</w:t>
      </w:r>
      <w:r w:rsidRPr="00154F2C">
        <w:rPr>
          <w:rFonts w:eastAsia="Times New Roman" w:cs="Times New Roman"/>
          <w:spacing w:val="23"/>
          <w:szCs w:val="24"/>
          <w:lang w:val="en-US" w:eastAsia="en-GB"/>
        </w:rPr>
        <w:t xml:space="preserve"> </w:t>
      </w:r>
      <w:r w:rsidRPr="00154F2C">
        <w:rPr>
          <w:rFonts w:eastAsia="Times New Roman" w:cs="Times New Roman"/>
          <w:szCs w:val="24"/>
          <w:lang w:val="en-US" w:eastAsia="en-GB"/>
        </w:rPr>
        <w:t>far</w:t>
      </w:r>
      <w:r w:rsidRPr="00154F2C">
        <w:rPr>
          <w:rFonts w:eastAsia="Times New Roman" w:cs="Times New Roman"/>
          <w:spacing w:val="22"/>
          <w:szCs w:val="24"/>
          <w:lang w:val="en-US" w:eastAsia="en-GB"/>
        </w:rPr>
        <w:t xml:space="preserve"> </w:t>
      </w:r>
      <w:r w:rsidRPr="00154F2C">
        <w:rPr>
          <w:rFonts w:eastAsia="Times New Roman" w:cs="Times New Roman"/>
          <w:szCs w:val="24"/>
          <w:lang w:val="en-US" w:eastAsia="en-GB"/>
        </w:rPr>
        <w:t>as vulnerable young people in North Wales are</w:t>
      </w:r>
      <w:r w:rsidRPr="00154F2C">
        <w:rPr>
          <w:rFonts w:eastAsia="Times New Roman" w:cs="Times New Roman"/>
          <w:spacing w:val="-7"/>
          <w:szCs w:val="24"/>
          <w:lang w:val="en-US" w:eastAsia="en-GB"/>
        </w:rPr>
        <w:t xml:space="preserve"> </w:t>
      </w:r>
      <w:r w:rsidRPr="00154F2C">
        <w:rPr>
          <w:rFonts w:eastAsia="Times New Roman" w:cs="Times New Roman"/>
          <w:szCs w:val="24"/>
          <w:lang w:val="en-US" w:eastAsia="en-GB"/>
        </w:rPr>
        <w:t>concerned</w:t>
      </w:r>
      <w:r w:rsidR="00C51A6C">
        <w:rPr>
          <w:rFonts w:eastAsia="Times New Roman" w:cs="Times New Roman"/>
          <w:szCs w:val="24"/>
          <w:lang w:val="en-US" w:eastAsia="en-GB"/>
        </w:rPr>
        <w:t>’</w:t>
      </w:r>
      <w:r w:rsidRPr="00154F2C">
        <w:rPr>
          <w:rFonts w:eastAsia="Times New Roman" w:cs="Times New Roman"/>
          <w:szCs w:val="24"/>
          <w:lang w:val="en-US" w:eastAsia="en-GB"/>
        </w:rPr>
        <w:t>.</w:t>
      </w:r>
    </w:p>
    <w:p w:rsidR="004679BE" w:rsidRPr="00137CA4" w:rsidRDefault="004679BE" w:rsidP="00137CA4">
      <w:pPr>
        <w:pStyle w:val="Heading3"/>
      </w:pPr>
      <w:r w:rsidRPr="00137CA4">
        <w:lastRenderedPageBreak/>
        <w:t>Voluntary accommodation under S 76 Social Services and Well-being (Wales) Act 2014</w:t>
      </w:r>
    </w:p>
    <w:p w:rsidR="00137CA4" w:rsidRPr="00137CA4" w:rsidRDefault="00137CA4" w:rsidP="00137CA4">
      <w:pPr>
        <w:rPr>
          <w:lang w:val="en-US" w:eastAsia="en-GB"/>
        </w:rPr>
      </w:pPr>
    </w:p>
    <w:p w:rsidR="00501D32" w:rsidRDefault="004679BE" w:rsidP="004679BE">
      <w:pPr>
        <w:rPr>
          <w:b/>
        </w:rPr>
      </w:pPr>
      <w:r w:rsidRPr="004679BE">
        <w:rPr>
          <w:b/>
        </w:rPr>
        <w:t>Williams &amp; Ano</w:t>
      </w:r>
      <w:r>
        <w:rPr>
          <w:b/>
        </w:rPr>
        <w:t>the</w:t>
      </w:r>
      <w:r w:rsidRPr="004679BE">
        <w:rPr>
          <w:b/>
        </w:rPr>
        <w:t>r v London Borough of Hackney [2018] UKSC 37</w:t>
      </w:r>
    </w:p>
    <w:p w:rsidR="004679BE" w:rsidRDefault="004679BE" w:rsidP="004679BE">
      <w:r>
        <w:t>This is not a case from Wales, nor is Welsh legislation directly mentioned but it is an importa</w:t>
      </w:r>
      <w:r w:rsidR="009C5AB7">
        <w:t xml:space="preserve">nt </w:t>
      </w:r>
      <w:hyperlink r:id="rId16" w:history="1">
        <w:r w:rsidR="009C5AB7" w:rsidRPr="009C5AB7">
          <w:rPr>
            <w:rStyle w:val="Hyperlink"/>
          </w:rPr>
          <w:t>Supreme Court judgment</w:t>
        </w:r>
      </w:hyperlink>
      <w:r w:rsidR="009C5AB7">
        <w:t xml:space="preserve"> </w:t>
      </w:r>
      <w:r>
        <w:t>about s</w:t>
      </w:r>
      <w:r w:rsidR="00291F2F">
        <w:t>.</w:t>
      </w:r>
      <w:r>
        <w:t xml:space="preserve"> 20 Children Act 1989, that applies equally to s</w:t>
      </w:r>
      <w:r w:rsidR="00291F2F">
        <w:t>.</w:t>
      </w:r>
      <w:r>
        <w:t xml:space="preserve"> 76 SS&amp;</w:t>
      </w:r>
      <w:proofErr w:type="gramStart"/>
      <w:r>
        <w:t>WB(</w:t>
      </w:r>
      <w:proofErr w:type="gramEnd"/>
      <w:r>
        <w:t xml:space="preserve">W) Act 2014 in Wales. The case involved </w:t>
      </w:r>
      <w:r w:rsidR="00291F2F">
        <w:t>q</w:t>
      </w:r>
      <w:r>
        <w:t xml:space="preserve">uestions about the parents’ consent to s. 20. This </w:t>
      </w:r>
      <w:r w:rsidR="00291F2F">
        <w:t xml:space="preserve">final paragraph [64] by Lady Hale should be noted: </w:t>
      </w:r>
    </w:p>
    <w:p w:rsidR="00291F2F" w:rsidRPr="004679BE" w:rsidRDefault="00291F2F" w:rsidP="00291F2F">
      <w:pPr>
        <w:ind w:left="720"/>
      </w:pPr>
      <w:r>
        <w:rPr>
          <w:rStyle w:val="Emphasis"/>
        </w:rPr>
        <w:t>‘Parents with parental responsibility always have a qualified right to object and an unqualified right to remove their children at will (subject to any court orders about where the child is to live). Section 20 gives local authorities no compulsory powers over parents or their children and must not be used in such a way as to give the impression that it does. It is obviously good practice in every case that parents should be given clear and accurate information, both orally and in writing, both as to their own rights and as to the responsibilities of the local authority, before a child is accommodated under section 20 or as soon as practicable thereafter.</w:t>
      </w:r>
      <w:r>
        <w:rPr>
          <w:rStyle w:val="Emphasis"/>
          <w:i w:val="0"/>
        </w:rPr>
        <w:t>’</w:t>
      </w:r>
      <w:r>
        <w:t xml:space="preserve"> </w:t>
      </w:r>
    </w:p>
    <w:p w:rsidR="00154F2C" w:rsidRPr="00501D32" w:rsidRDefault="00154F2C">
      <w:pPr>
        <w:rPr>
          <w:szCs w:val="24"/>
        </w:rPr>
      </w:pPr>
    </w:p>
    <w:sectPr w:rsidR="00154F2C" w:rsidRPr="00501D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890C30"/>
    <w:multiLevelType w:val="hybridMultilevel"/>
    <w:tmpl w:val="891CA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026"/>
    <w:rsid w:val="00123CE5"/>
    <w:rsid w:val="00137CA4"/>
    <w:rsid w:val="00154F2C"/>
    <w:rsid w:val="001A6A6C"/>
    <w:rsid w:val="001E6744"/>
    <w:rsid w:val="00291F2F"/>
    <w:rsid w:val="002A34E6"/>
    <w:rsid w:val="002C7969"/>
    <w:rsid w:val="00350099"/>
    <w:rsid w:val="004679BE"/>
    <w:rsid w:val="00501D32"/>
    <w:rsid w:val="00560F2B"/>
    <w:rsid w:val="005930A0"/>
    <w:rsid w:val="006212EB"/>
    <w:rsid w:val="006B5543"/>
    <w:rsid w:val="00734D95"/>
    <w:rsid w:val="007D6454"/>
    <w:rsid w:val="00876635"/>
    <w:rsid w:val="008B119B"/>
    <w:rsid w:val="009C5AB7"/>
    <w:rsid w:val="00A0467A"/>
    <w:rsid w:val="00A672B5"/>
    <w:rsid w:val="00C04026"/>
    <w:rsid w:val="00C120D8"/>
    <w:rsid w:val="00C37709"/>
    <w:rsid w:val="00C378A8"/>
    <w:rsid w:val="00C51A6C"/>
    <w:rsid w:val="00CC7A29"/>
    <w:rsid w:val="00EA1A21"/>
    <w:rsid w:val="00FC7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94540D-84C8-4951-B5AB-6E611C2CC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37C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78A8"/>
    <w:pPr>
      <w:keepNext/>
      <w:keepLines/>
      <w:spacing w:before="40" w:after="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378A8"/>
    <w:pPr>
      <w:keepNext/>
      <w:keepLines/>
      <w:spacing w:before="40" w:after="0"/>
      <w:outlineLvl w:val="2"/>
    </w:pPr>
    <w:rPr>
      <w:rFonts w:eastAsiaTheme="majorEastAsia" w:cstheme="majorBidi"/>
      <w: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34E6"/>
    <w:rPr>
      <w:color w:val="0563C1" w:themeColor="hyperlink"/>
      <w:u w:val="single"/>
    </w:rPr>
  </w:style>
  <w:style w:type="paragraph" w:styleId="BodyText">
    <w:name w:val="Body Text"/>
    <w:basedOn w:val="Normal"/>
    <w:link w:val="BodyTextChar"/>
    <w:uiPriority w:val="99"/>
    <w:semiHidden/>
    <w:unhideWhenUsed/>
    <w:rsid w:val="00154F2C"/>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uiPriority w:val="99"/>
    <w:semiHidden/>
    <w:rsid w:val="00154F2C"/>
    <w:rPr>
      <w:rFonts w:ascii="Times New Roman" w:eastAsia="Times New Roman" w:hAnsi="Times New Roman" w:cs="Times New Roman"/>
      <w:szCs w:val="24"/>
      <w:lang w:eastAsia="en-GB"/>
    </w:rPr>
  </w:style>
  <w:style w:type="paragraph" w:styleId="ListParagraph">
    <w:name w:val="List Paragraph"/>
    <w:basedOn w:val="Normal"/>
    <w:uiPriority w:val="34"/>
    <w:qFormat/>
    <w:rsid w:val="00154F2C"/>
    <w:pPr>
      <w:spacing w:before="100" w:beforeAutospacing="1" w:after="100" w:afterAutospacing="1" w:line="240" w:lineRule="auto"/>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291F2F"/>
    <w:rPr>
      <w:i/>
      <w:iCs/>
    </w:rPr>
  </w:style>
  <w:style w:type="character" w:customStyle="1" w:styleId="Heading1Char">
    <w:name w:val="Heading 1 Char"/>
    <w:basedOn w:val="DefaultParagraphFont"/>
    <w:link w:val="Heading1"/>
    <w:uiPriority w:val="9"/>
    <w:rsid w:val="00137CA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378A8"/>
    <w:rPr>
      <w:rFonts w:eastAsiaTheme="majorEastAsia" w:cstheme="majorBidi"/>
      <w:color w:val="2E74B5" w:themeColor="accent1" w:themeShade="BF"/>
      <w:sz w:val="26"/>
      <w:szCs w:val="26"/>
    </w:rPr>
  </w:style>
  <w:style w:type="character" w:customStyle="1" w:styleId="Heading3Char">
    <w:name w:val="Heading 3 Char"/>
    <w:basedOn w:val="DefaultParagraphFont"/>
    <w:link w:val="Heading3"/>
    <w:uiPriority w:val="9"/>
    <w:rsid w:val="00C378A8"/>
    <w:rPr>
      <w:rFonts w:eastAsiaTheme="majorEastAsia" w:cstheme="majorBidi"/>
      <w:i/>
      <w:color w:val="1F4D78"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81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wales/topics/health/publications/socialcare/guidance1/network/?lang=en" TargetMode="External"/><Relationship Id="rId13" Type="http://schemas.openxmlformats.org/officeDocument/2006/relationships/hyperlink" Target="http://www.bailii.org/ew/cases/EWFC/HCJ/2018/36.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ov.wales/topics/people-and-communities/people/children-and-young-people/improving-outcomes-children-ministerial-group/?lang=en" TargetMode="External"/><Relationship Id="rId12" Type="http://schemas.openxmlformats.org/officeDocument/2006/relationships/hyperlink" Target="https://www.cardiffandvalersb.co.uk/2018/08/extended-child-practice-review-cv-cpr-04-201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ailii.org/uk/cases/UKSC/2018/37.html" TargetMode="External"/><Relationship Id="rId1" Type="http://schemas.openxmlformats.org/officeDocument/2006/relationships/numbering" Target="numbering.xml"/><Relationship Id="rId6" Type="http://schemas.openxmlformats.org/officeDocument/2006/relationships/hyperlink" Target="https://www.frg.org.uk/involving-families/reforming-law-and-practice/care-crisis-review" TargetMode="External"/><Relationship Id="rId11" Type="http://schemas.openxmlformats.org/officeDocument/2006/relationships/hyperlink" Target="http://senedd.assembly.wales/mgIssueHistoryHome.aspx?IId=22021" TargetMode="External"/><Relationship Id="rId5" Type="http://schemas.openxmlformats.org/officeDocument/2006/relationships/hyperlink" Target="http://www.transparencyproject.org.uk/the-sector-led-review-into-the-rise-in-care-applications-and-number-of-children-in-care-wales/" TargetMode="External"/><Relationship Id="rId15" Type="http://schemas.openxmlformats.org/officeDocument/2006/relationships/hyperlink" Target="http://www.bailii.org/ew/cases/EWFC/OJ/2018/B33.html" TargetMode="External"/><Relationship Id="rId10" Type="http://schemas.openxmlformats.org/officeDocument/2006/relationships/hyperlink" Target="http://www.legislation.gov.uk/wsi/2018/573/made" TargetMode="External"/><Relationship Id="rId4" Type="http://schemas.openxmlformats.org/officeDocument/2006/relationships/webSettings" Target="webSettings.xml"/><Relationship Id="rId9" Type="http://schemas.openxmlformats.org/officeDocument/2006/relationships/hyperlink" Target="https://saildatabank.com/" TargetMode="External"/><Relationship Id="rId14" Type="http://schemas.openxmlformats.org/officeDocument/2006/relationships/hyperlink" Target="http://www.communitycare.co.uk/2018/06/28/social-workers-shouldnt-use-attachment-records-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TotalTime>
  <Pages>4</Pages>
  <Words>1256</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8401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7</cp:revision>
  <dcterms:created xsi:type="dcterms:W3CDTF">2018-07-31T12:15:00Z</dcterms:created>
  <dcterms:modified xsi:type="dcterms:W3CDTF">2018-08-13T14:59:00Z</dcterms:modified>
</cp:coreProperties>
</file>